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 xml:space="preserve"> </w:t>
      </w:r>
    </w:p>
    <w:p>
      <w:pPr>
        <w:jc w:val="center"/>
        <w:rPr>
          <w:b/>
          <w:bCs/>
          <w:sz w:val="44"/>
          <w:szCs w:val="44"/>
        </w:rPr>
      </w:pPr>
    </w:p>
    <w:p>
      <w:pPr>
        <w:jc w:val="center"/>
        <w:rPr>
          <w:b/>
          <w:bCs/>
          <w:sz w:val="44"/>
          <w:szCs w:val="44"/>
        </w:rPr>
      </w:pPr>
    </w:p>
    <w:p>
      <w:pPr>
        <w:jc w:val="center"/>
        <w:rPr>
          <w:b/>
          <w:bCs/>
          <w:sz w:val="44"/>
          <w:szCs w:val="44"/>
        </w:rPr>
      </w:pPr>
      <w:r>
        <w:rPr>
          <w:rFonts w:hint="eastAsia"/>
          <w:b/>
          <w:bCs/>
          <w:sz w:val="44"/>
          <w:szCs w:val="44"/>
        </w:rPr>
        <w:t>东莞市湾区国际制造中心总部</w:t>
      </w:r>
    </w:p>
    <w:p>
      <w:pPr>
        <w:jc w:val="center"/>
        <w:rPr>
          <w:b/>
          <w:bCs/>
          <w:sz w:val="44"/>
          <w:szCs w:val="44"/>
        </w:rPr>
      </w:pPr>
      <w:r>
        <w:rPr>
          <w:rFonts w:hint="eastAsia"/>
          <w:b/>
          <w:bCs/>
          <w:sz w:val="44"/>
          <w:szCs w:val="44"/>
        </w:rPr>
        <w:t>概念方案设计</w:t>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b/>
          <w:bCs/>
          <w:sz w:val="28"/>
          <w:szCs w:val="28"/>
        </w:rPr>
      </w:pPr>
      <w:r>
        <w:rPr>
          <w:rFonts w:hint="eastAsia"/>
          <w:b/>
          <w:bCs/>
          <w:sz w:val="36"/>
          <w:szCs w:val="36"/>
        </w:rPr>
        <w:t>国际竞赛文件</w:t>
      </w:r>
    </w:p>
    <w:p>
      <w:pPr>
        <w:jc w:val="center"/>
        <w:rPr>
          <w:sz w:val="36"/>
          <w:szCs w:val="36"/>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ind w:firstLine="1680" w:firstLineChars="600"/>
        <w:rPr>
          <w:sz w:val="28"/>
          <w:szCs w:val="28"/>
        </w:rPr>
      </w:pPr>
      <w:r>
        <w:rPr>
          <w:rFonts w:hint="eastAsia"/>
          <w:sz w:val="28"/>
          <w:szCs w:val="28"/>
        </w:rPr>
        <w:t>主办方：东莞市旗山投资发展有限公司</w:t>
      </w:r>
    </w:p>
    <w:p>
      <w:pPr>
        <w:ind w:firstLine="1680" w:firstLineChars="600"/>
        <w:rPr>
          <w:sz w:val="28"/>
          <w:szCs w:val="28"/>
        </w:rPr>
      </w:pPr>
      <w:r>
        <w:rPr>
          <w:rFonts w:hint="eastAsia"/>
          <w:sz w:val="28"/>
          <w:szCs w:val="28"/>
        </w:rPr>
        <w:t>代理方：广东泰通伟业工程咨询有限公司</w:t>
      </w:r>
    </w:p>
    <w:p>
      <w:pPr>
        <w:jc w:val="center"/>
        <w:rPr>
          <w:sz w:val="28"/>
          <w:szCs w:val="28"/>
        </w:rPr>
      </w:pPr>
      <w:r>
        <w:rPr>
          <w:rFonts w:hint="eastAsia"/>
          <w:sz w:val="28"/>
          <w:szCs w:val="28"/>
        </w:rPr>
        <w:t>2020 年08 月</w:t>
      </w:r>
    </w:p>
    <w:p/>
    <w:p/>
    <w:p/>
    <w:p/>
    <w:p>
      <w:r>
        <w:rPr>
          <w:rFonts w:hint="eastAsia"/>
        </w:rPr>
        <w:br w:type="page"/>
      </w:r>
    </w:p>
    <w:p>
      <w:pPr>
        <w:jc w:val="center"/>
        <w:rPr>
          <w:rFonts w:ascii="宋体" w:hAnsi="宋体" w:eastAsia="宋体"/>
          <w:b/>
          <w:bCs/>
          <w:sz w:val="30"/>
          <w:szCs w:val="30"/>
        </w:rPr>
      </w:pPr>
    </w:p>
    <w:sdt>
      <w:sdtPr>
        <w:rPr>
          <w:rFonts w:ascii="宋体" w:hAnsi="宋体" w:eastAsia="宋体"/>
          <w:b/>
          <w:bCs/>
          <w:sz w:val="30"/>
          <w:szCs w:val="30"/>
        </w:rPr>
        <w:id w:val="147464622"/>
        <w:docPartObj>
          <w:docPartGallery w:val="Table of Contents"/>
          <w:docPartUnique/>
        </w:docPartObj>
      </w:sdtPr>
      <w:sdtEndPr>
        <w:rPr>
          <w:rFonts w:hint="eastAsia" w:asciiTheme="minorHAnsi" w:hAnsiTheme="minorHAnsi" w:eastAsiaTheme="minorEastAsia"/>
          <w:b/>
          <w:bCs/>
          <w:sz w:val="21"/>
          <w:szCs w:val="24"/>
        </w:rPr>
      </w:sdtEndPr>
      <w:sdtContent>
        <w:p>
          <w:pPr>
            <w:jc w:val="center"/>
            <w:rPr>
              <w:b/>
              <w:bCs/>
              <w:sz w:val="30"/>
              <w:szCs w:val="30"/>
            </w:rPr>
          </w:pPr>
          <w:r>
            <w:rPr>
              <w:rFonts w:ascii="宋体" w:hAnsi="宋体" w:eastAsia="宋体"/>
              <w:b/>
              <w:bCs/>
              <w:sz w:val="30"/>
              <w:szCs w:val="30"/>
            </w:rPr>
            <w:t>目录</w:t>
          </w:r>
        </w:p>
        <w:p>
          <w:pPr>
            <w:pStyle w:val="8"/>
            <w:tabs>
              <w:tab w:val="right" w:leader="dot" w:pos="9072"/>
            </w:tabs>
          </w:pPr>
          <w:r>
            <w:fldChar w:fldCharType="begin"/>
          </w:r>
          <w:r>
            <w:instrText xml:space="preserve">TOC \o "1-3" \h \u </w:instrText>
          </w:r>
          <w:r>
            <w:fldChar w:fldCharType="separate"/>
          </w:r>
          <w:r>
            <w:fldChar w:fldCharType="begin"/>
          </w:r>
          <w:r>
            <w:instrText xml:space="preserve"> HYPERLINK \l "_Toc1169" </w:instrText>
          </w:r>
          <w:r>
            <w:fldChar w:fldCharType="separate"/>
          </w:r>
          <w:r>
            <w:rPr>
              <w:rFonts w:hint="eastAsia"/>
            </w:rPr>
            <w:t>第一部分 参赛须知</w:t>
          </w:r>
          <w:r>
            <w:tab/>
          </w:r>
          <w:r>
            <w:fldChar w:fldCharType="begin"/>
          </w:r>
          <w:r>
            <w:instrText xml:space="preserve"> PAGEREF _Toc1169 </w:instrText>
          </w:r>
          <w:r>
            <w:fldChar w:fldCharType="separate"/>
          </w:r>
          <w:r>
            <w:t>4</w:t>
          </w:r>
          <w:r>
            <w:fldChar w:fldCharType="end"/>
          </w:r>
          <w:r>
            <w:fldChar w:fldCharType="end"/>
          </w:r>
        </w:p>
        <w:p>
          <w:pPr>
            <w:pStyle w:val="4"/>
            <w:tabs>
              <w:tab w:val="right" w:leader="dot" w:pos="9072"/>
            </w:tabs>
          </w:pPr>
          <w:r>
            <w:fldChar w:fldCharType="begin"/>
          </w:r>
          <w:r>
            <w:instrText xml:space="preserve"> HYPERLINK \l "_Toc26090" </w:instrText>
          </w:r>
          <w:r>
            <w:fldChar w:fldCharType="separate"/>
          </w:r>
          <w:r>
            <w:rPr>
              <w:rFonts w:hint="eastAsia"/>
            </w:rPr>
            <w:t>1. 项目概况</w:t>
          </w:r>
          <w:r>
            <w:tab/>
          </w:r>
          <w:r>
            <w:fldChar w:fldCharType="begin"/>
          </w:r>
          <w:r>
            <w:instrText xml:space="preserve"> PAGEREF _Toc26090 </w:instrText>
          </w:r>
          <w:r>
            <w:fldChar w:fldCharType="separate"/>
          </w:r>
          <w:r>
            <w:t>4</w:t>
          </w:r>
          <w:r>
            <w:fldChar w:fldCharType="end"/>
          </w:r>
          <w:r>
            <w:fldChar w:fldCharType="end"/>
          </w:r>
        </w:p>
        <w:p>
          <w:pPr>
            <w:pStyle w:val="4"/>
            <w:tabs>
              <w:tab w:val="right" w:leader="dot" w:pos="9072"/>
            </w:tabs>
          </w:pPr>
          <w:r>
            <w:fldChar w:fldCharType="begin"/>
          </w:r>
          <w:r>
            <w:instrText xml:space="preserve"> HYPERLINK \l "_Toc12281" </w:instrText>
          </w:r>
          <w:r>
            <w:fldChar w:fldCharType="separate"/>
          </w:r>
          <w:r>
            <w:rPr>
              <w:rFonts w:hint="eastAsia"/>
            </w:rPr>
            <w:t>2. 竞赛设计内容</w:t>
          </w:r>
          <w:r>
            <w:tab/>
          </w:r>
          <w:r>
            <w:fldChar w:fldCharType="begin"/>
          </w:r>
          <w:r>
            <w:instrText xml:space="preserve"> PAGEREF _Toc12281 </w:instrText>
          </w:r>
          <w:r>
            <w:fldChar w:fldCharType="separate"/>
          </w:r>
          <w:r>
            <w:t>7</w:t>
          </w:r>
          <w:r>
            <w:fldChar w:fldCharType="end"/>
          </w:r>
          <w:r>
            <w:fldChar w:fldCharType="end"/>
          </w:r>
        </w:p>
        <w:p>
          <w:pPr>
            <w:pStyle w:val="4"/>
            <w:tabs>
              <w:tab w:val="right" w:leader="dot" w:pos="9072"/>
            </w:tabs>
          </w:pPr>
          <w:r>
            <w:fldChar w:fldCharType="begin"/>
          </w:r>
          <w:r>
            <w:instrText xml:space="preserve"> HYPERLINK \l "_Toc25187" </w:instrText>
          </w:r>
          <w:r>
            <w:fldChar w:fldCharType="separate"/>
          </w:r>
          <w:r>
            <w:rPr>
              <w:rFonts w:hint="eastAsia"/>
            </w:rPr>
            <w:t>3. 竞赛规则</w:t>
          </w:r>
          <w:r>
            <w:tab/>
          </w:r>
          <w:r>
            <w:fldChar w:fldCharType="begin"/>
          </w:r>
          <w:r>
            <w:instrText xml:space="preserve"> PAGEREF _Toc25187 </w:instrText>
          </w:r>
          <w:r>
            <w:fldChar w:fldCharType="separate"/>
          </w:r>
          <w:r>
            <w:t>8</w:t>
          </w:r>
          <w:r>
            <w:fldChar w:fldCharType="end"/>
          </w:r>
          <w:r>
            <w:fldChar w:fldCharType="end"/>
          </w:r>
        </w:p>
        <w:p>
          <w:pPr>
            <w:pStyle w:val="4"/>
            <w:tabs>
              <w:tab w:val="right" w:leader="dot" w:pos="9072"/>
            </w:tabs>
          </w:pPr>
          <w:r>
            <w:fldChar w:fldCharType="begin"/>
          </w:r>
          <w:r>
            <w:instrText xml:space="preserve"> HYPERLINK \l "_Toc30035" </w:instrText>
          </w:r>
          <w:r>
            <w:fldChar w:fldCharType="separate"/>
          </w:r>
          <w:r>
            <w:rPr>
              <w:rFonts w:hint="eastAsia"/>
            </w:rPr>
            <w:t>4. 竞赛日程</w:t>
          </w:r>
          <w:r>
            <w:tab/>
          </w:r>
          <w:r>
            <w:fldChar w:fldCharType="begin"/>
          </w:r>
          <w:r>
            <w:instrText xml:space="preserve"> PAGEREF _Toc30035 </w:instrText>
          </w:r>
          <w:r>
            <w:fldChar w:fldCharType="separate"/>
          </w:r>
          <w:r>
            <w:t>9</w:t>
          </w:r>
          <w:r>
            <w:fldChar w:fldCharType="end"/>
          </w:r>
          <w:r>
            <w:fldChar w:fldCharType="end"/>
          </w:r>
        </w:p>
        <w:p>
          <w:pPr>
            <w:pStyle w:val="4"/>
            <w:tabs>
              <w:tab w:val="right" w:leader="dot" w:pos="9072"/>
            </w:tabs>
          </w:pPr>
          <w:r>
            <w:fldChar w:fldCharType="begin"/>
          </w:r>
          <w:r>
            <w:instrText xml:space="preserve"> HYPERLINK \l "_Toc22183" </w:instrText>
          </w:r>
          <w:r>
            <w:fldChar w:fldCharType="separate"/>
          </w:r>
          <w:r>
            <w:rPr>
              <w:rFonts w:hint="eastAsia"/>
            </w:rPr>
            <w:t>5. 资格预审文件</w:t>
          </w:r>
          <w:r>
            <w:tab/>
          </w:r>
          <w:r>
            <w:fldChar w:fldCharType="begin"/>
          </w:r>
          <w:r>
            <w:instrText xml:space="preserve"> PAGEREF _Toc22183 </w:instrText>
          </w:r>
          <w:r>
            <w:fldChar w:fldCharType="separate"/>
          </w:r>
          <w:r>
            <w:t>9</w:t>
          </w:r>
          <w:r>
            <w:fldChar w:fldCharType="end"/>
          </w:r>
          <w:r>
            <w:fldChar w:fldCharType="end"/>
          </w:r>
        </w:p>
        <w:p>
          <w:pPr>
            <w:pStyle w:val="4"/>
            <w:tabs>
              <w:tab w:val="right" w:leader="dot" w:pos="9072"/>
            </w:tabs>
          </w:pPr>
          <w:r>
            <w:fldChar w:fldCharType="begin"/>
          </w:r>
          <w:r>
            <w:instrText xml:space="preserve"> HYPERLINK \l "_Toc23086" </w:instrText>
          </w:r>
          <w:r>
            <w:fldChar w:fldCharType="separate"/>
          </w:r>
          <w:r>
            <w:rPr>
              <w:rFonts w:hint="eastAsia"/>
            </w:rPr>
            <w:t>6. 资格预审原则／细则</w:t>
          </w:r>
          <w:r>
            <w:tab/>
          </w:r>
          <w:r>
            <w:fldChar w:fldCharType="begin"/>
          </w:r>
          <w:r>
            <w:instrText xml:space="preserve"> PAGEREF _Toc23086 </w:instrText>
          </w:r>
          <w:r>
            <w:fldChar w:fldCharType="separate"/>
          </w:r>
          <w:r>
            <w:t>11</w:t>
          </w:r>
          <w:r>
            <w:fldChar w:fldCharType="end"/>
          </w:r>
          <w:r>
            <w:fldChar w:fldCharType="end"/>
          </w:r>
        </w:p>
        <w:p>
          <w:pPr>
            <w:pStyle w:val="4"/>
            <w:tabs>
              <w:tab w:val="right" w:leader="dot" w:pos="9072"/>
            </w:tabs>
          </w:pPr>
          <w:r>
            <w:fldChar w:fldCharType="begin"/>
          </w:r>
          <w:r>
            <w:instrText xml:space="preserve"> HYPERLINK \l "_Toc14147" </w:instrText>
          </w:r>
          <w:r>
            <w:fldChar w:fldCharType="separate"/>
          </w:r>
          <w:r>
            <w:rPr>
              <w:rFonts w:hint="eastAsia"/>
            </w:rPr>
            <w:t>7. 设计竞赛评审原则／细则</w:t>
          </w:r>
          <w:r>
            <w:tab/>
          </w:r>
          <w:r>
            <w:fldChar w:fldCharType="begin"/>
          </w:r>
          <w:r>
            <w:instrText xml:space="preserve"> PAGEREF _Toc14147 </w:instrText>
          </w:r>
          <w:r>
            <w:fldChar w:fldCharType="separate"/>
          </w:r>
          <w:r>
            <w:t>11</w:t>
          </w:r>
          <w:r>
            <w:fldChar w:fldCharType="end"/>
          </w:r>
          <w:r>
            <w:fldChar w:fldCharType="end"/>
          </w:r>
        </w:p>
        <w:p>
          <w:pPr>
            <w:pStyle w:val="4"/>
            <w:tabs>
              <w:tab w:val="right" w:leader="dot" w:pos="9072"/>
            </w:tabs>
          </w:pPr>
          <w:r>
            <w:fldChar w:fldCharType="begin"/>
          </w:r>
          <w:r>
            <w:instrText xml:space="preserve"> HYPERLINK \l "_Toc3701" </w:instrText>
          </w:r>
          <w:r>
            <w:fldChar w:fldCharType="separate"/>
          </w:r>
          <w:r>
            <w:rPr>
              <w:rFonts w:hint="eastAsia"/>
            </w:rPr>
            <w:t>8. 设计费及有关费用分配</w:t>
          </w:r>
          <w:r>
            <w:tab/>
          </w:r>
          <w:r>
            <w:fldChar w:fldCharType="begin"/>
          </w:r>
          <w:r>
            <w:instrText xml:space="preserve"> PAGEREF _Toc3701 </w:instrText>
          </w:r>
          <w:r>
            <w:fldChar w:fldCharType="separate"/>
          </w:r>
          <w:r>
            <w:t>12</w:t>
          </w:r>
          <w:r>
            <w:fldChar w:fldCharType="end"/>
          </w:r>
          <w:r>
            <w:fldChar w:fldCharType="end"/>
          </w:r>
        </w:p>
        <w:p>
          <w:pPr>
            <w:pStyle w:val="4"/>
            <w:tabs>
              <w:tab w:val="right" w:leader="dot" w:pos="9072"/>
            </w:tabs>
          </w:pPr>
          <w:r>
            <w:fldChar w:fldCharType="begin"/>
          </w:r>
          <w:r>
            <w:instrText xml:space="preserve"> HYPERLINK \l "_Toc3390" </w:instrText>
          </w:r>
          <w:r>
            <w:fldChar w:fldCharType="separate"/>
          </w:r>
          <w:r>
            <w:rPr>
              <w:rFonts w:hint="eastAsia"/>
            </w:rPr>
            <w:t>9. 成果文件有效性</w:t>
          </w:r>
          <w:r>
            <w:tab/>
          </w:r>
          <w:r>
            <w:fldChar w:fldCharType="begin"/>
          </w:r>
          <w:r>
            <w:instrText xml:space="preserve"> PAGEREF _Toc3390 </w:instrText>
          </w:r>
          <w:r>
            <w:fldChar w:fldCharType="separate"/>
          </w:r>
          <w:r>
            <w:t>12</w:t>
          </w:r>
          <w:r>
            <w:fldChar w:fldCharType="end"/>
          </w:r>
          <w:r>
            <w:fldChar w:fldCharType="end"/>
          </w:r>
        </w:p>
        <w:p>
          <w:pPr>
            <w:pStyle w:val="4"/>
            <w:tabs>
              <w:tab w:val="right" w:leader="dot" w:pos="9072"/>
            </w:tabs>
          </w:pPr>
          <w:r>
            <w:fldChar w:fldCharType="begin"/>
          </w:r>
          <w:r>
            <w:instrText xml:space="preserve"> HYPERLINK \l "_Toc21685" </w:instrText>
          </w:r>
          <w:r>
            <w:fldChar w:fldCharType="separate"/>
          </w:r>
          <w:r>
            <w:rPr>
              <w:rFonts w:hint="eastAsia"/>
            </w:rPr>
            <w:t>10.知识产权及相关法律</w:t>
          </w:r>
          <w:r>
            <w:tab/>
          </w:r>
          <w:r>
            <w:fldChar w:fldCharType="begin"/>
          </w:r>
          <w:r>
            <w:instrText xml:space="preserve"> PAGEREF _Toc21685 </w:instrText>
          </w:r>
          <w:r>
            <w:fldChar w:fldCharType="separate"/>
          </w:r>
          <w:r>
            <w:t>13</w:t>
          </w:r>
          <w:r>
            <w:fldChar w:fldCharType="end"/>
          </w:r>
          <w:r>
            <w:fldChar w:fldCharType="end"/>
          </w:r>
        </w:p>
        <w:p>
          <w:pPr>
            <w:pStyle w:val="4"/>
            <w:tabs>
              <w:tab w:val="right" w:leader="dot" w:pos="9072"/>
            </w:tabs>
          </w:pPr>
          <w:r>
            <w:fldChar w:fldCharType="begin"/>
          </w:r>
          <w:r>
            <w:instrText xml:space="preserve"> HYPERLINK \l "_Toc11" </w:instrText>
          </w:r>
          <w:r>
            <w:fldChar w:fldCharType="separate"/>
          </w:r>
          <w:r>
            <w:rPr>
              <w:rFonts w:hint="eastAsia"/>
            </w:rPr>
            <w:t>11.保密原则</w:t>
          </w:r>
          <w:r>
            <w:tab/>
          </w:r>
          <w:r>
            <w:fldChar w:fldCharType="begin"/>
          </w:r>
          <w:r>
            <w:instrText xml:space="preserve"> PAGEREF _Toc11 </w:instrText>
          </w:r>
          <w:r>
            <w:fldChar w:fldCharType="separate"/>
          </w:r>
          <w:r>
            <w:t>14</w:t>
          </w:r>
          <w:r>
            <w:fldChar w:fldCharType="end"/>
          </w:r>
          <w:r>
            <w:fldChar w:fldCharType="end"/>
          </w:r>
        </w:p>
        <w:p>
          <w:pPr>
            <w:pStyle w:val="4"/>
            <w:tabs>
              <w:tab w:val="right" w:leader="dot" w:pos="9072"/>
            </w:tabs>
          </w:pPr>
          <w:r>
            <w:fldChar w:fldCharType="begin"/>
          </w:r>
          <w:r>
            <w:instrText xml:space="preserve"> HYPERLINK \l "_Toc20807" </w:instrText>
          </w:r>
          <w:r>
            <w:fldChar w:fldCharType="separate"/>
          </w:r>
          <w:r>
            <w:rPr>
              <w:rFonts w:hint="eastAsia"/>
            </w:rPr>
            <w:t>12.争议解决</w:t>
          </w:r>
          <w:r>
            <w:tab/>
          </w:r>
          <w:r>
            <w:fldChar w:fldCharType="begin"/>
          </w:r>
          <w:r>
            <w:instrText xml:space="preserve"> PAGEREF _Toc20807 </w:instrText>
          </w:r>
          <w:r>
            <w:fldChar w:fldCharType="separate"/>
          </w:r>
          <w:r>
            <w:t>14</w:t>
          </w:r>
          <w:r>
            <w:fldChar w:fldCharType="end"/>
          </w:r>
          <w:r>
            <w:fldChar w:fldCharType="end"/>
          </w:r>
        </w:p>
        <w:p>
          <w:pPr>
            <w:pStyle w:val="4"/>
            <w:tabs>
              <w:tab w:val="right" w:leader="dot" w:pos="9072"/>
            </w:tabs>
          </w:pPr>
          <w:r>
            <w:fldChar w:fldCharType="begin"/>
          </w:r>
          <w:r>
            <w:instrText xml:space="preserve"> HYPERLINK \l "_Toc6793" </w:instrText>
          </w:r>
          <w:r>
            <w:fldChar w:fldCharType="separate"/>
          </w:r>
          <w:r>
            <w:rPr>
              <w:rFonts w:hint="eastAsia"/>
            </w:rPr>
            <w:t>13.不正当竞争与纪律监督</w:t>
          </w:r>
          <w:r>
            <w:tab/>
          </w:r>
          <w:r>
            <w:fldChar w:fldCharType="begin"/>
          </w:r>
          <w:r>
            <w:instrText xml:space="preserve"> PAGEREF _Toc6793 </w:instrText>
          </w:r>
          <w:r>
            <w:fldChar w:fldCharType="separate"/>
          </w:r>
          <w:r>
            <w:t>14</w:t>
          </w:r>
          <w:r>
            <w:fldChar w:fldCharType="end"/>
          </w:r>
          <w:r>
            <w:fldChar w:fldCharType="end"/>
          </w:r>
        </w:p>
        <w:p>
          <w:pPr>
            <w:pStyle w:val="4"/>
            <w:tabs>
              <w:tab w:val="right" w:leader="dot" w:pos="9072"/>
            </w:tabs>
          </w:pPr>
          <w:r>
            <w:fldChar w:fldCharType="begin"/>
          </w:r>
          <w:r>
            <w:instrText xml:space="preserve"> HYPERLINK \l "_Toc9167" </w:instrText>
          </w:r>
          <w:r>
            <w:fldChar w:fldCharType="separate"/>
          </w:r>
          <w:r>
            <w:rPr>
              <w:rFonts w:hint="eastAsia"/>
            </w:rPr>
            <w:t>14.语言、时间及计量单位</w:t>
          </w:r>
          <w:r>
            <w:tab/>
          </w:r>
          <w:r>
            <w:fldChar w:fldCharType="begin"/>
          </w:r>
          <w:r>
            <w:instrText xml:space="preserve"> PAGEREF _Toc9167 </w:instrText>
          </w:r>
          <w:r>
            <w:fldChar w:fldCharType="separate"/>
          </w:r>
          <w:r>
            <w:t>14</w:t>
          </w:r>
          <w:r>
            <w:fldChar w:fldCharType="end"/>
          </w:r>
          <w:r>
            <w:fldChar w:fldCharType="end"/>
          </w:r>
        </w:p>
        <w:p>
          <w:pPr>
            <w:pStyle w:val="4"/>
            <w:tabs>
              <w:tab w:val="right" w:leader="dot" w:pos="9072"/>
            </w:tabs>
          </w:pPr>
          <w:r>
            <w:fldChar w:fldCharType="begin"/>
          </w:r>
          <w:r>
            <w:instrText xml:space="preserve"> HYPERLINK \l "_Toc17669" </w:instrText>
          </w:r>
          <w:r>
            <w:fldChar w:fldCharType="separate"/>
          </w:r>
          <w:r>
            <w:rPr>
              <w:rFonts w:hint="eastAsia"/>
            </w:rPr>
            <w:t>15.其 他</w:t>
          </w:r>
          <w:r>
            <w:tab/>
          </w:r>
          <w:r>
            <w:fldChar w:fldCharType="begin"/>
          </w:r>
          <w:r>
            <w:instrText xml:space="preserve"> PAGEREF _Toc17669 </w:instrText>
          </w:r>
          <w:r>
            <w:fldChar w:fldCharType="separate"/>
          </w:r>
          <w:r>
            <w:t>15</w:t>
          </w:r>
          <w:r>
            <w:fldChar w:fldCharType="end"/>
          </w:r>
          <w:r>
            <w:fldChar w:fldCharType="end"/>
          </w:r>
        </w:p>
        <w:p>
          <w:pPr>
            <w:pStyle w:val="4"/>
            <w:tabs>
              <w:tab w:val="right" w:leader="dot" w:pos="9072"/>
            </w:tabs>
          </w:pPr>
          <w:r>
            <w:fldChar w:fldCharType="begin"/>
          </w:r>
          <w:r>
            <w:instrText xml:space="preserve"> HYPERLINK \l "_Toc9659" </w:instrText>
          </w:r>
          <w:r>
            <w:fldChar w:fldCharType="separate"/>
          </w:r>
          <w:r>
            <w:rPr>
              <w:rFonts w:hint="eastAsia"/>
            </w:rPr>
            <w:t>16.组织机构</w:t>
          </w:r>
          <w:r>
            <w:tab/>
          </w:r>
          <w:r>
            <w:fldChar w:fldCharType="begin"/>
          </w:r>
          <w:r>
            <w:instrText xml:space="preserve"> PAGEREF _Toc9659 </w:instrText>
          </w:r>
          <w:r>
            <w:fldChar w:fldCharType="separate"/>
          </w:r>
          <w:r>
            <w:t>16</w:t>
          </w:r>
          <w:r>
            <w:fldChar w:fldCharType="end"/>
          </w:r>
          <w:r>
            <w:fldChar w:fldCharType="end"/>
          </w:r>
        </w:p>
        <w:p>
          <w:pPr>
            <w:pStyle w:val="4"/>
            <w:tabs>
              <w:tab w:val="right" w:leader="dot" w:pos="9072"/>
            </w:tabs>
          </w:pPr>
          <w:r>
            <w:fldChar w:fldCharType="begin"/>
          </w:r>
          <w:r>
            <w:instrText xml:space="preserve"> HYPERLINK \l "_Toc1091" </w:instrText>
          </w:r>
          <w:r>
            <w:fldChar w:fldCharType="separate"/>
          </w:r>
          <w:r>
            <w:rPr>
              <w:rFonts w:hint="eastAsia"/>
            </w:rPr>
            <w:t>17. 联系方式</w:t>
          </w:r>
          <w:r>
            <w:tab/>
          </w:r>
          <w:r>
            <w:fldChar w:fldCharType="begin"/>
          </w:r>
          <w:r>
            <w:instrText xml:space="preserve"> PAGEREF _Toc1091 </w:instrText>
          </w:r>
          <w:r>
            <w:fldChar w:fldCharType="separate"/>
          </w:r>
          <w:r>
            <w:t>16</w:t>
          </w:r>
          <w:r>
            <w:fldChar w:fldCharType="end"/>
          </w:r>
          <w:r>
            <w:fldChar w:fldCharType="end"/>
          </w:r>
        </w:p>
        <w:p>
          <w:pPr>
            <w:pStyle w:val="8"/>
            <w:tabs>
              <w:tab w:val="right" w:leader="dot" w:pos="9072"/>
            </w:tabs>
          </w:pPr>
          <w:r>
            <w:fldChar w:fldCharType="begin"/>
          </w:r>
          <w:r>
            <w:instrText xml:space="preserve"> HYPERLINK \l "_Toc15777" </w:instrText>
          </w:r>
          <w:r>
            <w:fldChar w:fldCharType="separate"/>
          </w:r>
          <w:r>
            <w:rPr>
              <w:rFonts w:hint="eastAsia"/>
            </w:rPr>
            <w:t>第二部分 竞赛设计任务书（另见附件）</w:t>
          </w:r>
          <w:r>
            <w:tab/>
          </w:r>
          <w:r>
            <w:fldChar w:fldCharType="begin"/>
          </w:r>
          <w:r>
            <w:instrText xml:space="preserve"> PAGEREF _Toc15777 </w:instrText>
          </w:r>
          <w:r>
            <w:fldChar w:fldCharType="separate"/>
          </w:r>
          <w:r>
            <w:t>17</w:t>
          </w:r>
          <w:r>
            <w:fldChar w:fldCharType="end"/>
          </w:r>
          <w:r>
            <w:fldChar w:fldCharType="end"/>
          </w:r>
        </w:p>
        <w:p>
          <w:pPr>
            <w:pStyle w:val="8"/>
            <w:tabs>
              <w:tab w:val="right" w:leader="dot" w:pos="9072"/>
            </w:tabs>
          </w:pPr>
          <w:r>
            <w:fldChar w:fldCharType="begin"/>
          </w:r>
          <w:r>
            <w:instrText xml:space="preserve"> HYPERLINK \l "_Toc19928" </w:instrText>
          </w:r>
          <w:r>
            <w:fldChar w:fldCharType="separate"/>
          </w:r>
          <w:r>
            <w:rPr>
              <w:rFonts w:hint="eastAsia"/>
            </w:rPr>
            <w:t>第三部分 资格预审申请文件格式（另见附件）</w:t>
          </w:r>
          <w:r>
            <w:tab/>
          </w:r>
          <w:r>
            <w:fldChar w:fldCharType="begin"/>
          </w:r>
          <w:r>
            <w:instrText xml:space="preserve"> PAGEREF _Toc19928 </w:instrText>
          </w:r>
          <w:r>
            <w:fldChar w:fldCharType="separate"/>
          </w:r>
          <w:r>
            <w:t>18</w:t>
          </w:r>
          <w:r>
            <w:fldChar w:fldCharType="end"/>
          </w:r>
          <w:r>
            <w:fldChar w:fldCharType="end"/>
          </w:r>
        </w:p>
        <w:p>
          <w:pPr>
            <w:sectPr>
              <w:footerReference r:id="rId3" w:type="default"/>
              <w:pgSz w:w="11906" w:h="16838"/>
              <w:pgMar w:top="1417" w:right="1417" w:bottom="1417" w:left="1417" w:header="851" w:footer="992" w:gutter="0"/>
              <w:cols w:space="425" w:num="1"/>
              <w:docGrid w:type="lines" w:linePitch="312" w:charSpace="0"/>
            </w:sectPr>
          </w:pPr>
          <w:r>
            <w:fldChar w:fldCharType="end"/>
          </w:r>
        </w:p>
      </w:sdtContent>
    </w:sdt>
    <w:p/>
    <w:p>
      <w:pPr>
        <w:pStyle w:val="2"/>
      </w:pPr>
      <w:bookmarkStart w:id="0" w:name="_Toc1169"/>
      <w:bookmarkStart w:id="1" w:name="_Toc24836"/>
      <w:r>
        <w:rPr>
          <w:rFonts w:hint="eastAsia"/>
        </w:rPr>
        <w:t>第一部分 参赛须知</w:t>
      </w:r>
      <w:bookmarkEnd w:id="0"/>
      <w:bookmarkEnd w:id="1"/>
    </w:p>
    <w:p>
      <w:pPr>
        <w:pStyle w:val="3"/>
      </w:pPr>
      <w:bookmarkStart w:id="2" w:name="_Toc26090"/>
      <w:bookmarkStart w:id="3" w:name="_Toc18431"/>
      <w:r>
        <w:drawing>
          <wp:anchor distT="0" distB="0" distL="114300" distR="114300" simplePos="0" relativeHeight="251658240" behindDoc="0" locked="0" layoutInCell="1" allowOverlap="1">
            <wp:simplePos x="0" y="0"/>
            <wp:positionH relativeFrom="column">
              <wp:posOffset>-206375</wp:posOffset>
            </wp:positionH>
            <wp:positionV relativeFrom="paragraph">
              <wp:posOffset>351790</wp:posOffset>
            </wp:positionV>
            <wp:extent cx="6372860" cy="3241675"/>
            <wp:effectExtent l="0" t="0" r="8890" b="1587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rcRect t="21266" b="6615"/>
                    <a:stretch>
                      <a:fillRect/>
                    </a:stretch>
                  </pic:blipFill>
                  <pic:spPr>
                    <a:xfrm>
                      <a:off x="0" y="0"/>
                      <a:ext cx="6372860" cy="3241675"/>
                    </a:xfrm>
                    <a:prstGeom prst="rect">
                      <a:avLst/>
                    </a:prstGeom>
                  </pic:spPr>
                </pic:pic>
              </a:graphicData>
            </a:graphic>
          </wp:anchor>
        </w:drawing>
      </w:r>
      <w:r>
        <w:rPr>
          <w:rFonts w:hint="eastAsia"/>
        </w:rPr>
        <w:t>1. 项目概况</w:t>
      </w:r>
      <w:bookmarkEnd w:id="2"/>
      <w:bookmarkEnd w:id="3"/>
    </w:p>
    <w:p>
      <w:pPr>
        <w:rPr>
          <w:sz w:val="30"/>
          <w:szCs w:val="30"/>
        </w:rPr>
      </w:pPr>
    </w:p>
    <w:p/>
    <w:p/>
    <w:p/>
    <w:p/>
    <w:p/>
    <w:p/>
    <w:p/>
    <w:p/>
    <w:p/>
    <w:p/>
    <w:p/>
    <w:p/>
    <w:p/>
    <w:p/>
    <w:p/>
    <w:p>
      <w:pPr>
        <w:jc w:val="center"/>
      </w:pPr>
      <w:r>
        <w:rPr>
          <w:rFonts w:hint="eastAsia"/>
        </w:rPr>
        <w:t>项目区位图</w:t>
      </w:r>
    </w:p>
    <w:p>
      <w:pPr>
        <w:spacing w:line="360" w:lineRule="auto"/>
        <w:ind w:firstLine="420" w:firstLineChars="200"/>
      </w:pPr>
      <w:r>
        <w:rPr>
          <w:rFonts w:hint="eastAsia"/>
        </w:rPr>
        <w:t>1.1东莞市湾区国际制造中心位于东莞国际商务区D单元05街坊,东南侧紧邻城市主干道--东莞大道。东北部为纬二路。西北侧临经七路。东南侧靠纬三路。项目地面占地面积12289.43 m2。</w:t>
      </w:r>
    </w:p>
    <w:p>
      <w:pPr>
        <w:ind w:firstLine="420" w:firstLineChars="200"/>
      </w:pPr>
    </w:p>
    <w:tbl>
      <w:tblPr>
        <w:tblStyle w:val="9"/>
        <w:tblpPr w:leftFromText="180" w:rightFromText="180" w:vertAnchor="text" w:horzAnchor="page" w:tblpX="1274" w:tblpY="286"/>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276"/>
        <w:gridCol w:w="709"/>
        <w:gridCol w:w="1275"/>
        <w:gridCol w:w="1418"/>
        <w:gridCol w:w="1091"/>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410" w:type="dxa"/>
            <w:vAlign w:val="center"/>
          </w:tcPr>
          <w:p>
            <w:pPr>
              <w:jc w:val="center"/>
              <w:rPr>
                <w:rFonts w:asciiTheme="minorEastAsia" w:hAnsiTheme="minorEastAsia"/>
                <w:szCs w:val="21"/>
              </w:rPr>
            </w:pPr>
            <w:r>
              <w:rPr>
                <w:rFonts w:hint="eastAsia" w:asciiTheme="minorEastAsia" w:hAnsiTheme="minorEastAsia"/>
                <w:szCs w:val="21"/>
              </w:rPr>
              <w:t>地块编号及土地性质</w:t>
            </w:r>
          </w:p>
        </w:tc>
        <w:tc>
          <w:tcPr>
            <w:tcW w:w="1276" w:type="dxa"/>
            <w:vAlign w:val="center"/>
          </w:tcPr>
          <w:p>
            <w:pPr>
              <w:jc w:val="center"/>
              <w:rPr>
                <w:rFonts w:asciiTheme="minorEastAsia" w:hAnsiTheme="minorEastAsia"/>
                <w:szCs w:val="21"/>
              </w:rPr>
            </w:pPr>
            <w:r>
              <w:rPr>
                <w:rFonts w:hint="eastAsia" w:asciiTheme="minorEastAsia" w:hAnsiTheme="minorEastAsia"/>
                <w:szCs w:val="21"/>
              </w:rPr>
              <w:t>建设用地面积（</w:t>
            </w:r>
            <w:r>
              <w:rPr>
                <w:rFonts w:asciiTheme="minorEastAsia" w:hAnsiTheme="minorEastAsia"/>
                <w:szCs w:val="21"/>
              </w:rPr>
              <w:t>m2)</w:t>
            </w:r>
          </w:p>
        </w:tc>
        <w:tc>
          <w:tcPr>
            <w:tcW w:w="709" w:type="dxa"/>
            <w:vAlign w:val="center"/>
          </w:tcPr>
          <w:p>
            <w:pPr>
              <w:jc w:val="center"/>
              <w:rPr>
                <w:rFonts w:asciiTheme="minorEastAsia" w:hAnsiTheme="minorEastAsia"/>
                <w:szCs w:val="21"/>
              </w:rPr>
            </w:pPr>
            <w:r>
              <w:rPr>
                <w:rFonts w:hint="eastAsia" w:asciiTheme="minorEastAsia" w:hAnsiTheme="minorEastAsia"/>
                <w:szCs w:val="21"/>
              </w:rPr>
              <w:t>容积率</w:t>
            </w:r>
          </w:p>
        </w:tc>
        <w:tc>
          <w:tcPr>
            <w:tcW w:w="1275" w:type="dxa"/>
            <w:vAlign w:val="center"/>
          </w:tcPr>
          <w:p>
            <w:pPr>
              <w:jc w:val="center"/>
              <w:rPr>
                <w:rFonts w:asciiTheme="minorEastAsia" w:hAnsiTheme="minorEastAsia"/>
                <w:szCs w:val="21"/>
              </w:rPr>
            </w:pPr>
            <w:r>
              <w:rPr>
                <w:rFonts w:hint="eastAsia" w:asciiTheme="minorEastAsia" w:hAnsiTheme="minorEastAsia"/>
                <w:szCs w:val="21"/>
              </w:rPr>
              <w:t>规划建筑计容面积（</w:t>
            </w:r>
            <w:r>
              <w:rPr>
                <w:rFonts w:asciiTheme="minorEastAsia" w:hAnsiTheme="minorEastAsia"/>
                <w:szCs w:val="21"/>
              </w:rPr>
              <w:t>m2)</w:t>
            </w:r>
          </w:p>
        </w:tc>
        <w:tc>
          <w:tcPr>
            <w:tcW w:w="1418" w:type="dxa"/>
            <w:vAlign w:val="center"/>
          </w:tcPr>
          <w:p>
            <w:pPr>
              <w:jc w:val="center"/>
              <w:rPr>
                <w:rFonts w:asciiTheme="minorEastAsia" w:hAnsiTheme="minorEastAsia"/>
                <w:szCs w:val="21"/>
              </w:rPr>
            </w:pPr>
            <w:r>
              <w:rPr>
                <w:rFonts w:hint="eastAsia" w:asciiTheme="minorEastAsia" w:hAnsiTheme="minorEastAsia"/>
                <w:szCs w:val="21"/>
              </w:rPr>
              <w:t>拟建建筑控制高度（</w:t>
            </w:r>
            <w:r>
              <w:rPr>
                <w:rFonts w:asciiTheme="minorEastAsia" w:hAnsiTheme="minorEastAsia"/>
                <w:szCs w:val="21"/>
              </w:rPr>
              <w:t>m)</w:t>
            </w:r>
          </w:p>
        </w:tc>
        <w:tc>
          <w:tcPr>
            <w:tcW w:w="1091" w:type="dxa"/>
            <w:vAlign w:val="center"/>
          </w:tcPr>
          <w:p>
            <w:pPr>
              <w:jc w:val="center"/>
              <w:rPr>
                <w:rFonts w:asciiTheme="minorEastAsia" w:hAnsiTheme="minorEastAsia"/>
                <w:szCs w:val="21"/>
              </w:rPr>
            </w:pPr>
            <w:r>
              <w:rPr>
                <w:rFonts w:hint="eastAsia" w:asciiTheme="minorEastAsia" w:hAnsiTheme="minorEastAsia"/>
                <w:szCs w:val="21"/>
              </w:rPr>
              <w:t>建筑密度</w:t>
            </w:r>
          </w:p>
        </w:tc>
        <w:tc>
          <w:tcPr>
            <w:tcW w:w="1241" w:type="dxa"/>
            <w:vAlign w:val="center"/>
          </w:tcPr>
          <w:p>
            <w:pPr>
              <w:jc w:val="center"/>
              <w:rPr>
                <w:rFonts w:asciiTheme="minorEastAsia" w:hAnsiTheme="minorEastAsia"/>
                <w:szCs w:val="21"/>
              </w:rPr>
            </w:pPr>
            <w:r>
              <w:rPr>
                <w:rFonts w:hint="eastAsia" w:asciiTheme="minorEastAsia" w:hAnsiTheme="minorEastAsia"/>
                <w:szCs w:val="21"/>
              </w:rPr>
              <w:t>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410" w:type="dxa"/>
            <w:vAlign w:val="center"/>
          </w:tcPr>
          <w:p>
            <w:pPr>
              <w:pStyle w:val="14"/>
              <w:jc w:val="center"/>
              <w:rPr>
                <w:rFonts w:asciiTheme="minorEastAsia" w:hAnsiTheme="minorEastAsia" w:eastAsiaTheme="minorEastAsia"/>
                <w:szCs w:val="21"/>
              </w:rPr>
            </w:pPr>
            <w:r>
              <w:rPr>
                <w:rFonts w:hint="eastAsia"/>
              </w:rPr>
              <w:t>D05-01商业金融业用地（C2）；</w:t>
            </w:r>
          </w:p>
        </w:tc>
        <w:tc>
          <w:tcPr>
            <w:tcW w:w="1276" w:type="dxa"/>
            <w:vAlign w:val="center"/>
          </w:tcPr>
          <w:p>
            <w:pPr>
              <w:pStyle w:val="14"/>
              <w:jc w:val="center"/>
              <w:rPr>
                <w:rFonts w:asciiTheme="minorEastAsia" w:hAnsiTheme="minorEastAsia" w:eastAsiaTheme="minorEastAsia"/>
                <w:szCs w:val="21"/>
              </w:rPr>
            </w:pPr>
            <w:r>
              <w:rPr>
                <w:rFonts w:hint="eastAsia"/>
              </w:rPr>
              <w:t>12389.81</w:t>
            </w:r>
          </w:p>
        </w:tc>
        <w:tc>
          <w:tcPr>
            <w:tcW w:w="709" w:type="dxa"/>
            <w:vAlign w:val="center"/>
          </w:tcPr>
          <w:p>
            <w:pPr>
              <w:pStyle w:val="14"/>
              <w:jc w:val="center"/>
              <w:rPr>
                <w:rFonts w:asciiTheme="minorEastAsia" w:hAnsiTheme="minorEastAsia" w:eastAsiaTheme="minorEastAsia"/>
                <w:szCs w:val="21"/>
              </w:rPr>
            </w:pPr>
            <w:r>
              <w:rPr>
                <w:rFonts w:hint="eastAsia" w:asciiTheme="minorEastAsia" w:hAnsiTheme="minorEastAsia" w:eastAsiaTheme="minorEastAsia"/>
                <w:szCs w:val="21"/>
              </w:rPr>
              <w:t>≤9</w:t>
            </w:r>
          </w:p>
        </w:tc>
        <w:tc>
          <w:tcPr>
            <w:tcW w:w="1275" w:type="dxa"/>
            <w:vAlign w:val="center"/>
          </w:tcPr>
          <w:p>
            <w:pPr>
              <w:pStyle w:val="14"/>
              <w:jc w:val="center"/>
              <w:rPr>
                <w:rFonts w:asciiTheme="minorEastAsia" w:hAnsiTheme="minorEastAsia" w:eastAsiaTheme="minorEastAsia"/>
                <w:szCs w:val="21"/>
              </w:rPr>
            </w:pPr>
            <w:r>
              <w:rPr>
                <w:rFonts w:hint="eastAsia" w:eastAsiaTheme="minorEastAsia"/>
                <w:sz w:val="22"/>
              </w:rPr>
              <w:t>111508.29</w:t>
            </w:r>
          </w:p>
        </w:tc>
        <w:tc>
          <w:tcPr>
            <w:tcW w:w="1418" w:type="dxa"/>
            <w:vAlign w:val="center"/>
          </w:tcPr>
          <w:p>
            <w:pPr>
              <w:pStyle w:val="14"/>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szCs w:val="21"/>
              </w:rPr>
              <w:t>150</w:t>
            </w:r>
            <w:r>
              <w:rPr>
                <w:rFonts w:hint="eastAsia" w:asciiTheme="minorEastAsia" w:hAnsiTheme="minorEastAsia" w:eastAsiaTheme="minorEastAsia"/>
                <w:szCs w:val="21"/>
              </w:rPr>
              <w:t>m</w:t>
            </w:r>
          </w:p>
        </w:tc>
        <w:tc>
          <w:tcPr>
            <w:tcW w:w="1091" w:type="dxa"/>
            <w:vAlign w:val="center"/>
          </w:tcPr>
          <w:p>
            <w:pPr>
              <w:pStyle w:val="14"/>
              <w:jc w:val="center"/>
              <w:rPr>
                <w:rFonts w:asciiTheme="minorEastAsia" w:hAnsiTheme="minorEastAsia" w:eastAsiaTheme="minorEastAsia"/>
                <w:szCs w:val="21"/>
              </w:rPr>
            </w:pPr>
            <w:r>
              <w:rPr>
                <w:rFonts w:hint="eastAsia" w:asciiTheme="minorEastAsia" w:hAnsiTheme="minorEastAsia" w:eastAsiaTheme="minorEastAsia"/>
                <w:szCs w:val="21"/>
              </w:rPr>
              <w:t>≤50%</w:t>
            </w:r>
          </w:p>
        </w:tc>
        <w:tc>
          <w:tcPr>
            <w:tcW w:w="1241" w:type="dxa"/>
            <w:vAlign w:val="center"/>
          </w:tcPr>
          <w:p>
            <w:pPr>
              <w:pStyle w:val="14"/>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szCs w:val="21"/>
              </w:rPr>
              <w:t>20</w:t>
            </w:r>
            <w:r>
              <w:rPr>
                <w:rFonts w:hint="eastAsia" w:asciiTheme="minorEastAsia" w:hAnsiTheme="minorEastAsia" w:eastAsiaTheme="minorEastAsia"/>
                <w:szCs w:val="21"/>
              </w:rPr>
              <w:t>%</w:t>
            </w:r>
          </w:p>
        </w:tc>
      </w:tr>
    </w:tbl>
    <w:p>
      <w:pPr>
        <w:ind w:firstLine="420" w:firstLineChars="200"/>
      </w:pPr>
    </w:p>
    <w:p>
      <w:pPr>
        <w:ind w:firstLine="420" w:firstLineChars="200"/>
        <w:jc w:val="center"/>
      </w:pPr>
      <w:r>
        <w:rPr>
          <w:rFonts w:hint="eastAsia"/>
        </w:rPr>
        <w:t>项目建设用地指标</w:t>
      </w:r>
    </w:p>
    <w:p>
      <w:pPr>
        <w:ind w:firstLine="420" w:firstLineChars="200"/>
      </w:pPr>
    </w:p>
    <w:p>
      <w:pPr>
        <w:ind w:firstLine="420" w:firstLineChars="200"/>
      </w:pPr>
    </w:p>
    <w:p>
      <w:pPr>
        <w:ind w:firstLine="420" w:firstLineChars="200"/>
      </w:pPr>
    </w:p>
    <w:p/>
    <w:p/>
    <w:p/>
    <w:p/>
    <w:p>
      <w:r>
        <w:drawing>
          <wp:anchor distT="0" distB="0" distL="114300" distR="114300" simplePos="0" relativeHeight="251659264" behindDoc="0" locked="0" layoutInCell="1" allowOverlap="1">
            <wp:simplePos x="0" y="0"/>
            <wp:positionH relativeFrom="column">
              <wp:posOffset>-434975</wp:posOffset>
            </wp:positionH>
            <wp:positionV relativeFrom="paragraph">
              <wp:posOffset>80010</wp:posOffset>
            </wp:positionV>
            <wp:extent cx="6711315" cy="3300730"/>
            <wp:effectExtent l="0" t="0" r="13335" b="1397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6" cstate="print"/>
                    <a:stretch>
                      <a:fillRect/>
                    </a:stretch>
                  </pic:blipFill>
                  <pic:spPr>
                    <a:xfrm>
                      <a:off x="0" y="0"/>
                      <a:ext cx="6711315" cy="3300730"/>
                    </a:xfrm>
                    <a:prstGeom prst="rect">
                      <a:avLst/>
                    </a:prstGeom>
                  </pic:spPr>
                </pic:pic>
              </a:graphicData>
            </a:graphic>
          </wp:anchor>
        </w:drawing>
      </w:r>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项目地块周边功能分析一</w:t>
      </w:r>
    </w:p>
    <w:p>
      <w:pPr>
        <w:jc w:val="center"/>
      </w:pPr>
      <w:r>
        <w:drawing>
          <wp:anchor distT="0" distB="0" distL="114300" distR="114300" simplePos="0" relativeHeight="251660288" behindDoc="0" locked="0" layoutInCell="1" allowOverlap="1">
            <wp:simplePos x="0" y="0"/>
            <wp:positionH relativeFrom="column">
              <wp:posOffset>-184785</wp:posOffset>
            </wp:positionH>
            <wp:positionV relativeFrom="paragraph">
              <wp:posOffset>126365</wp:posOffset>
            </wp:positionV>
            <wp:extent cx="6136005" cy="4124325"/>
            <wp:effectExtent l="0" t="0" r="17145" b="952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cstate="print"/>
                    <a:stretch>
                      <a:fillRect/>
                    </a:stretch>
                  </pic:blipFill>
                  <pic:spPr>
                    <a:xfrm>
                      <a:off x="0" y="0"/>
                      <a:ext cx="6136005" cy="4124325"/>
                    </a:xfrm>
                    <a:prstGeom prst="rect">
                      <a:avLst/>
                    </a:prstGeom>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项目地块功能分析一</w:t>
      </w:r>
    </w:p>
    <w:p>
      <w:pPr>
        <w:jc w:val="center"/>
      </w:pPr>
    </w:p>
    <w:p>
      <w:pPr>
        <w:pStyle w:val="15"/>
        <w:spacing w:line="600" w:lineRule="auto"/>
        <w:rPr>
          <w:rFonts w:asciiTheme="minorEastAsia" w:hAnsiTheme="minorEastAsia" w:eastAsiaTheme="minorEastAsia"/>
          <w:sz w:val="21"/>
          <w:szCs w:val="21"/>
        </w:rPr>
      </w:pPr>
      <w:bookmarkStart w:id="4" w:name="_Toc18583"/>
      <w:bookmarkStart w:id="5" w:name="_Toc1641"/>
      <w:bookmarkStart w:id="6" w:name="_Toc30985"/>
      <w:r>
        <w:drawing>
          <wp:inline distT="0" distB="0" distL="114300" distR="114300">
            <wp:extent cx="5763895" cy="3402965"/>
            <wp:effectExtent l="0" t="0" r="825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cstate="print"/>
                    <a:stretch>
                      <a:fillRect/>
                    </a:stretch>
                  </pic:blipFill>
                  <pic:spPr>
                    <a:xfrm>
                      <a:off x="0" y="0"/>
                      <a:ext cx="5763895" cy="3402965"/>
                    </a:xfrm>
                    <a:prstGeom prst="rect">
                      <a:avLst/>
                    </a:prstGeom>
                  </pic:spPr>
                </pic:pic>
              </a:graphicData>
            </a:graphic>
          </wp:inline>
        </w:drawing>
      </w:r>
      <w:bookmarkEnd w:id="4"/>
      <w:bookmarkEnd w:id="5"/>
      <w:bookmarkEnd w:id="6"/>
    </w:p>
    <w:p>
      <w:pPr>
        <w:jc w:val="center"/>
      </w:pPr>
      <w:r>
        <w:rPr>
          <w:rFonts w:hint="eastAsia"/>
        </w:rPr>
        <w:t>项目地块功能分析二</w:t>
      </w:r>
    </w:p>
    <w:p>
      <w:pPr>
        <w:jc w:val="center"/>
      </w:pPr>
      <w:r>
        <w:drawing>
          <wp:anchor distT="0" distB="0" distL="114300" distR="114300" simplePos="0" relativeHeight="251662336" behindDoc="0" locked="0" layoutInCell="1" allowOverlap="1">
            <wp:simplePos x="0" y="0"/>
            <wp:positionH relativeFrom="column">
              <wp:posOffset>285115</wp:posOffset>
            </wp:positionH>
            <wp:positionV relativeFrom="paragraph">
              <wp:posOffset>52070</wp:posOffset>
            </wp:positionV>
            <wp:extent cx="5132705" cy="4503420"/>
            <wp:effectExtent l="0" t="0" r="10795" b="1143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stretch>
                      <a:fillRect/>
                    </a:stretch>
                  </pic:blipFill>
                  <pic:spPr>
                    <a:xfrm>
                      <a:off x="0" y="0"/>
                      <a:ext cx="5132705" cy="4503420"/>
                    </a:xfrm>
                    <a:prstGeom prst="rect">
                      <a:avLst/>
                    </a:prstGeom>
                  </pic:spPr>
                </pic:pic>
              </a:graphicData>
            </a:graphic>
          </wp:anchor>
        </w:drawing>
      </w: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pPr>
      <w:r>
        <w:rPr>
          <w:rFonts w:hint="eastAsia"/>
        </w:rPr>
        <w:t>项目地块功能分析三</w:t>
      </w:r>
    </w:p>
    <w:p>
      <w:pPr>
        <w:jc w:val="center"/>
        <w:rPr>
          <w:rFonts w:asciiTheme="minorEastAsia" w:hAnsiTheme="minorEastAsia"/>
          <w:szCs w:val="21"/>
        </w:rPr>
      </w:pPr>
      <w:r>
        <w:drawing>
          <wp:anchor distT="0" distB="0" distL="114300" distR="114300" simplePos="0" relativeHeight="251663360" behindDoc="0" locked="0" layoutInCell="1" allowOverlap="1">
            <wp:simplePos x="0" y="0"/>
            <wp:positionH relativeFrom="column">
              <wp:posOffset>-88265</wp:posOffset>
            </wp:positionH>
            <wp:positionV relativeFrom="paragraph">
              <wp:posOffset>47625</wp:posOffset>
            </wp:positionV>
            <wp:extent cx="6026150" cy="3564255"/>
            <wp:effectExtent l="0" t="0" r="12700" b="17145"/>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cstate="print"/>
                    <a:stretch>
                      <a:fillRect/>
                    </a:stretch>
                  </pic:blipFill>
                  <pic:spPr>
                    <a:xfrm>
                      <a:off x="0" y="0"/>
                      <a:ext cx="6026150" cy="3564255"/>
                    </a:xfrm>
                    <a:prstGeom prst="rect">
                      <a:avLst/>
                    </a:prstGeom>
                  </pic:spPr>
                </pic:pic>
              </a:graphicData>
            </a:graphic>
          </wp:anchor>
        </w:drawing>
      </w:r>
    </w:p>
    <w:p>
      <w:pPr>
        <w:jc w:val="center"/>
        <w:rPr>
          <w:rFonts w:asciiTheme="minorEastAsia" w:hAnsiTheme="minorEastAsia"/>
          <w:szCs w:val="21"/>
        </w:rPr>
      </w:pPr>
    </w:p>
    <w:p>
      <w:pPr>
        <w:pStyle w:val="15"/>
        <w:spacing w:line="600" w:lineRule="auto"/>
        <w:rPr>
          <w:rFonts w:asciiTheme="minorEastAsia" w:hAnsiTheme="minorEastAsia" w:eastAsiaTheme="minorEastAsia"/>
          <w:sz w:val="21"/>
          <w:szCs w:val="21"/>
        </w:rPr>
      </w:pPr>
    </w:p>
    <w:p>
      <w:pPr>
        <w:pStyle w:val="15"/>
        <w:spacing w:line="600" w:lineRule="auto"/>
        <w:rPr>
          <w:rFonts w:asciiTheme="minorEastAsia" w:hAnsiTheme="minorEastAsia" w:eastAsiaTheme="minorEastAsia"/>
          <w:sz w:val="21"/>
          <w:szCs w:val="21"/>
        </w:rPr>
      </w:pPr>
    </w:p>
    <w:p>
      <w:pPr>
        <w:pStyle w:val="15"/>
        <w:spacing w:line="600" w:lineRule="auto"/>
        <w:rPr>
          <w:rFonts w:asciiTheme="minorEastAsia" w:hAnsiTheme="minorEastAsia" w:eastAsiaTheme="minorEastAsia"/>
          <w:sz w:val="21"/>
          <w:szCs w:val="21"/>
        </w:rPr>
      </w:pPr>
    </w:p>
    <w:p>
      <w:pPr>
        <w:pStyle w:val="15"/>
        <w:spacing w:line="600" w:lineRule="auto"/>
        <w:rPr>
          <w:rFonts w:asciiTheme="minorEastAsia" w:hAnsiTheme="minorEastAsia" w:eastAsiaTheme="minorEastAsia"/>
          <w:sz w:val="21"/>
          <w:szCs w:val="21"/>
        </w:rPr>
      </w:pPr>
    </w:p>
    <w:p>
      <w:pPr>
        <w:pStyle w:val="15"/>
        <w:spacing w:line="600" w:lineRule="auto"/>
        <w:rPr>
          <w:rFonts w:asciiTheme="minorEastAsia" w:hAnsiTheme="minorEastAsia" w:eastAsiaTheme="minorEastAsia"/>
          <w:sz w:val="21"/>
          <w:szCs w:val="21"/>
        </w:rPr>
      </w:pPr>
    </w:p>
    <w:p>
      <w:pPr>
        <w:pStyle w:val="15"/>
        <w:spacing w:line="600" w:lineRule="auto"/>
        <w:rPr>
          <w:rFonts w:asciiTheme="minorEastAsia" w:hAnsiTheme="minorEastAsia" w:eastAsiaTheme="minorEastAsia"/>
          <w:sz w:val="21"/>
          <w:szCs w:val="21"/>
        </w:rPr>
      </w:pPr>
    </w:p>
    <w:p>
      <w:pPr>
        <w:jc w:val="center"/>
        <w:rPr>
          <w:rFonts w:asciiTheme="minorEastAsia" w:hAnsiTheme="minorEastAsia"/>
          <w:szCs w:val="21"/>
        </w:rPr>
      </w:pPr>
      <w:r>
        <w:rPr>
          <w:rFonts w:hint="eastAsia"/>
        </w:rPr>
        <w:t>项目地块功能分析四</w:t>
      </w:r>
    </w:p>
    <w:p>
      <w:pPr>
        <w:pStyle w:val="15"/>
        <w:spacing w:line="600" w:lineRule="auto"/>
        <w:rPr>
          <w:rFonts w:asciiTheme="minorEastAsia" w:hAnsiTheme="minorEastAsia" w:eastAsiaTheme="minorEastAsia"/>
          <w:sz w:val="21"/>
          <w:szCs w:val="21"/>
        </w:rPr>
      </w:pPr>
      <w:bookmarkStart w:id="7" w:name="_Toc22856"/>
      <w:bookmarkStart w:id="8" w:name="_Toc12956"/>
      <w:bookmarkStart w:id="9" w:name="_Toc7701"/>
      <w:r>
        <w:rPr>
          <w:rFonts w:hint="eastAsia" w:asciiTheme="minorEastAsia" w:hAnsiTheme="minorEastAsia" w:eastAsiaTheme="minorEastAsia"/>
          <w:sz w:val="21"/>
          <w:szCs w:val="21"/>
        </w:rPr>
        <w:t>1.2项目定位</w:t>
      </w:r>
      <w:bookmarkEnd w:id="7"/>
      <w:bookmarkEnd w:id="8"/>
      <w:bookmarkEnd w:id="9"/>
    </w:p>
    <w:p>
      <w:pPr>
        <w:spacing w:line="360" w:lineRule="auto"/>
        <w:ind w:firstLine="420" w:firstLineChars="200"/>
        <w:rPr>
          <w:rFonts w:asciiTheme="minorEastAsia" w:hAnsiTheme="minorEastAsia"/>
          <w:szCs w:val="21"/>
        </w:rPr>
      </w:pPr>
      <w:r>
        <w:rPr>
          <w:rFonts w:hint="eastAsia" w:asciiTheme="minorEastAsia" w:hAnsiTheme="minorEastAsia"/>
          <w:szCs w:val="21"/>
        </w:rPr>
        <w:t>1）对项目总体定位：打造东莞有别于大型商业综合体的特色办公新地标。</w:t>
      </w:r>
    </w:p>
    <w:p>
      <w:pPr>
        <w:spacing w:line="360" w:lineRule="auto"/>
        <w:ind w:firstLine="420" w:firstLineChars="200"/>
        <w:rPr>
          <w:rFonts w:asciiTheme="minorEastAsia" w:hAnsiTheme="minorEastAsia"/>
          <w:szCs w:val="21"/>
        </w:rPr>
      </w:pPr>
      <w:r>
        <w:rPr>
          <w:rFonts w:hint="eastAsia" w:asciiTheme="minorEastAsia" w:hAnsiTheme="minorEastAsia"/>
          <w:szCs w:val="21"/>
        </w:rPr>
        <w:t>2）分物业定位：本项目办公业态占比约95%、商业占比5%。</w:t>
      </w:r>
    </w:p>
    <w:p>
      <w:pPr>
        <w:spacing w:line="360" w:lineRule="auto"/>
        <w:ind w:firstLine="420" w:firstLineChars="200"/>
        <w:rPr>
          <w:rFonts w:asciiTheme="minorEastAsia" w:hAnsiTheme="minorEastAsia"/>
          <w:szCs w:val="21"/>
        </w:rPr>
      </w:pPr>
      <w:r>
        <w:rPr>
          <w:rFonts w:hint="eastAsia" w:asciiTheme="minorEastAsia" w:hAnsiTheme="minorEastAsia"/>
          <w:szCs w:val="21"/>
        </w:rPr>
        <w:t>3）功能定位：</w:t>
      </w:r>
    </w:p>
    <w:p>
      <w:pPr>
        <w:spacing w:line="360" w:lineRule="auto"/>
        <w:ind w:firstLine="1050" w:firstLineChars="500"/>
        <w:rPr>
          <w:rFonts w:asciiTheme="minorEastAsia" w:hAnsiTheme="minorEastAsia"/>
          <w:szCs w:val="21"/>
        </w:rPr>
      </w:pPr>
      <w:r>
        <w:rPr>
          <w:rFonts w:hint="eastAsia" w:asciiTheme="minorEastAsia" w:hAnsiTheme="minorEastAsia"/>
          <w:szCs w:val="21"/>
        </w:rPr>
        <w:t>最具活力的人文艺术高地</w:t>
      </w:r>
    </w:p>
    <w:p>
      <w:pPr>
        <w:spacing w:line="360" w:lineRule="auto"/>
        <w:ind w:firstLine="1050" w:firstLineChars="500"/>
        <w:rPr>
          <w:rFonts w:asciiTheme="minorEastAsia" w:hAnsiTheme="minorEastAsia"/>
          <w:szCs w:val="21"/>
        </w:rPr>
      </w:pPr>
      <w:r>
        <w:rPr>
          <w:rFonts w:hint="eastAsia" w:asciiTheme="minorEastAsia" w:hAnsiTheme="minorEastAsia"/>
          <w:szCs w:val="21"/>
        </w:rPr>
        <w:t>最IN都市生活方式引领者</w:t>
      </w:r>
    </w:p>
    <w:p>
      <w:pPr>
        <w:spacing w:line="360" w:lineRule="auto"/>
        <w:ind w:firstLine="1050" w:firstLineChars="500"/>
        <w:rPr>
          <w:rFonts w:asciiTheme="minorEastAsia" w:hAnsiTheme="minorEastAsia"/>
          <w:szCs w:val="21"/>
        </w:rPr>
      </w:pPr>
      <w:r>
        <w:rPr>
          <w:rFonts w:hint="eastAsia" w:asciiTheme="minorEastAsia" w:hAnsiTheme="minorEastAsia"/>
          <w:szCs w:val="21"/>
        </w:rPr>
        <w:t>最具腔调的高端办公场所</w:t>
      </w:r>
    </w:p>
    <w:p>
      <w:pPr>
        <w:spacing w:line="360" w:lineRule="auto"/>
        <w:ind w:firstLine="420" w:firstLineChars="200"/>
        <w:rPr>
          <w:rFonts w:asciiTheme="minorEastAsia" w:hAnsiTheme="minorEastAsia"/>
          <w:szCs w:val="21"/>
        </w:rPr>
      </w:pPr>
      <w:r>
        <w:rPr>
          <w:rFonts w:hint="eastAsia" w:asciiTheme="minorEastAsia" w:hAnsiTheme="minorEastAsia"/>
          <w:szCs w:val="21"/>
        </w:rPr>
        <w:t>4）面积需求：本项目平面功能布局如下，设计单位可进行合理化调整。首层及二层为商业，二层有连廊，3F及以上为办公，塔楼标准平面以实用率优先为原则，允许设计单位结合规划条件，提出合理性建议。</w:t>
      </w:r>
    </w:p>
    <w:p>
      <w:pPr>
        <w:spacing w:line="360" w:lineRule="auto"/>
        <w:ind w:firstLine="420" w:firstLineChars="200"/>
        <w:rPr>
          <w:rFonts w:asciiTheme="minorEastAsia" w:hAnsiTheme="minorEastAsia"/>
          <w:szCs w:val="21"/>
        </w:rPr>
      </w:pPr>
    </w:p>
    <w:p>
      <w:pPr>
        <w:pStyle w:val="3"/>
      </w:pPr>
      <w:bookmarkStart w:id="10" w:name="_Toc15816"/>
      <w:bookmarkStart w:id="11" w:name="_Toc12281"/>
      <w:r>
        <w:rPr>
          <w:rFonts w:hint="eastAsia"/>
        </w:rPr>
        <w:t>2. 竞赛设计内容</w:t>
      </w:r>
      <w:bookmarkEnd w:id="10"/>
      <w:bookmarkEnd w:id="11"/>
    </w:p>
    <w:p>
      <w:pPr>
        <w:spacing w:line="360" w:lineRule="auto"/>
        <w:ind w:firstLine="420" w:firstLineChars="200"/>
      </w:pPr>
      <w:r>
        <w:rPr>
          <w:rFonts w:hint="eastAsia"/>
        </w:rPr>
        <w:t>本次竞赛的设计内容为东莞市湾区国际制造中心总部的概念方案设计（详见竞赛设计任务书），竞赛第一名需负责概念性方案优化的整合工作（包括但不限于按照专家意见完成概念方案成果修改、深化，完善概念方案成果等）。</w:t>
      </w:r>
    </w:p>
    <w:p>
      <w:pPr>
        <w:pStyle w:val="3"/>
      </w:pPr>
      <w:bookmarkStart w:id="12" w:name="_Toc8860"/>
      <w:bookmarkStart w:id="13" w:name="_Toc25187"/>
      <w:r>
        <w:rPr>
          <w:rFonts w:hint="eastAsia"/>
        </w:rPr>
        <w:t>3. 竞赛规则</w:t>
      </w:r>
      <w:bookmarkEnd w:id="12"/>
      <w:bookmarkEnd w:id="13"/>
    </w:p>
    <w:p>
      <w:pPr>
        <w:widowControl/>
        <w:ind w:firstLine="420" w:firstLineChars="200"/>
        <w:jc w:val="left"/>
      </w:pPr>
      <w:r>
        <w:rPr>
          <w:rFonts w:hint="eastAsia"/>
        </w:rPr>
        <w:t>3.1 第一阶段：报名及方案团队遴选</w:t>
      </w:r>
    </w:p>
    <w:p>
      <w:pPr>
        <w:spacing w:line="360" w:lineRule="auto"/>
        <w:ind w:firstLine="420" w:firstLineChars="200"/>
      </w:pPr>
      <w:r>
        <w:rPr>
          <w:rFonts w:hint="eastAsia"/>
        </w:rPr>
        <w:t>1) 竞赛方式及报名条件</w:t>
      </w:r>
    </w:p>
    <w:p>
      <w:pPr>
        <w:spacing w:line="360" w:lineRule="auto"/>
        <w:ind w:firstLine="420" w:firstLineChars="200"/>
      </w:pPr>
      <w:r>
        <w:rPr>
          <w:rFonts w:hint="eastAsia"/>
        </w:rPr>
        <w:t>a）本次竞赛采用公开报名的方式，境内外具有相关设计经验的设计机构均可报名参加。中国境内设计机构必须具有在有效期经营内的合法性证明文件，且必须为独立企业法人或其他组织或取得</w:t>
      </w:r>
    </w:p>
    <w:p>
      <w:pPr>
        <w:spacing w:line="360" w:lineRule="auto"/>
      </w:pPr>
      <w:r>
        <w:rPr>
          <w:rFonts w:hint="eastAsia"/>
        </w:rPr>
        <w:t>合法授权的分支机构。中国境外设计机构必须为所在地合法注册的设计机构。法定代表人为同一个人或者存在控股、管理关系的不同单位，不得分开报名参赛。不接受个人及个人组合的报名。</w:t>
      </w:r>
    </w:p>
    <w:p>
      <w:pPr>
        <w:spacing w:line="360" w:lineRule="auto"/>
        <w:ind w:firstLine="420" w:firstLineChars="200"/>
      </w:pPr>
      <w:r>
        <w:rPr>
          <w:rFonts w:hint="eastAsia"/>
        </w:rPr>
        <w:t>b）鼓励优秀设计机构组成设计联合体（须有建筑、城市规划、景观等专业设计师参与）报名，联合体内成员不得超过三家，联合体各方不得再单独以自己名义，或者与另外的设计机构组成联合体参加此次竞赛。</w:t>
      </w:r>
    </w:p>
    <w:p>
      <w:pPr>
        <w:spacing w:line="360" w:lineRule="auto"/>
        <w:ind w:firstLine="420" w:firstLineChars="200"/>
      </w:pPr>
      <w:r>
        <w:rPr>
          <w:rFonts w:hint="eastAsia"/>
        </w:rPr>
        <w:t>c）有类似设计经验的团队将优先考虑。</w:t>
      </w:r>
    </w:p>
    <w:p>
      <w:pPr>
        <w:spacing w:line="360" w:lineRule="auto"/>
        <w:ind w:firstLine="420" w:firstLineChars="200"/>
      </w:pPr>
      <w:r>
        <w:rPr>
          <w:rFonts w:hint="eastAsia"/>
        </w:rPr>
        <w:t>d）参与本次竞赛活动的设计人员应为该设计机构的在册人员，首席（主创）设计师须由主持过同类型项目的人员担任，且必须直接参与竞赛全过程（包括负责方案设计、出席汇报，并在设计成果签字署名等）。如设计机构为境外机构，为了保证项目设计人员对中国地区背景和相关要求的准确理解，项目设计人员中应至少有一名通晓汉语的人士。</w:t>
      </w:r>
    </w:p>
    <w:p>
      <w:pPr>
        <w:spacing w:line="360" w:lineRule="auto"/>
        <w:ind w:firstLine="420" w:firstLineChars="200"/>
      </w:pPr>
      <w:r>
        <w:rPr>
          <w:rFonts w:hint="eastAsia"/>
        </w:rPr>
        <w:t>e）报名的设计机构根据竞赛文件要求提供资格预审材料。</w:t>
      </w:r>
    </w:p>
    <w:p>
      <w:pPr>
        <w:spacing w:line="360" w:lineRule="auto"/>
        <w:ind w:firstLine="420" w:firstLineChars="200"/>
      </w:pPr>
      <w:r>
        <w:rPr>
          <w:rFonts w:hint="eastAsia"/>
        </w:rPr>
        <w:t>f）负责本项目的主要设计工作的首席（主创）设计师需参加重要节点的汇报会议等工作；在竞赛过程中若首席（主创）设计师与资格预审材料所提交的团队人员不符，主办方有权取消其入围和竞赛资格。</w:t>
      </w:r>
    </w:p>
    <w:p>
      <w:pPr>
        <w:spacing w:line="360" w:lineRule="auto"/>
        <w:ind w:firstLine="420" w:firstLineChars="200"/>
      </w:pPr>
      <w:r>
        <w:rPr>
          <w:rFonts w:hint="eastAsia"/>
        </w:rPr>
        <w:t>2) 资格预审方式</w:t>
      </w:r>
    </w:p>
    <w:p>
      <w:pPr>
        <w:spacing w:line="360" w:lineRule="auto"/>
        <w:ind w:firstLine="420" w:firstLineChars="200"/>
      </w:pPr>
      <w:r>
        <w:rPr>
          <w:rFonts w:hint="eastAsia"/>
        </w:rPr>
        <w:t>主办方将组建资格预审委员会，由资格预审委员会对报名机构的企业资格、业绩、拟投入项目的团队等资格预审文件（详见 5.1 资格预审文件的组成）进行评选，选出三家入围的参赛机构进入第二阶段的概念方案阶段。同时，评选出两家备选参赛机构（须排序），如前三家入围的参赛机构出现退出第二阶段竞赛情况的，则备选参赛机构依序替补。</w:t>
      </w:r>
    </w:p>
    <w:p>
      <w:pPr>
        <w:spacing w:line="360" w:lineRule="auto"/>
        <w:ind w:firstLine="420" w:firstLineChars="200"/>
      </w:pPr>
      <w:r>
        <w:rPr>
          <w:rFonts w:hint="eastAsia"/>
        </w:rPr>
        <w:t>3) 通过资格预审的三家入围参赛机构应按时提交《参赛确认函》。</w:t>
      </w:r>
    </w:p>
    <w:p>
      <w:pPr>
        <w:spacing w:line="360" w:lineRule="auto"/>
        <w:ind w:firstLine="420" w:firstLineChars="200"/>
      </w:pPr>
      <w:r>
        <w:rPr>
          <w:rFonts w:hint="eastAsia"/>
        </w:rPr>
        <w:t>4) 若递交《参赛确认函》的参赛机构因非不可抗力因素中途退出或最终放弃参赛，主办方有权在今后拒绝该参赛机构参加主办方其他任何建设项目的竞赛。</w:t>
      </w:r>
    </w:p>
    <w:p>
      <w:pPr>
        <w:spacing w:line="360" w:lineRule="auto"/>
        <w:ind w:firstLine="420" w:firstLineChars="200"/>
      </w:pPr>
      <w:r>
        <w:rPr>
          <w:rFonts w:hint="eastAsia"/>
        </w:rPr>
        <w:t>3.2 第二阶段：设计概念方案阶段</w:t>
      </w:r>
    </w:p>
    <w:p>
      <w:pPr>
        <w:spacing w:line="360" w:lineRule="auto"/>
        <w:ind w:firstLine="420" w:firstLineChars="200"/>
      </w:pPr>
      <w:r>
        <w:rPr>
          <w:rFonts w:hint="eastAsia"/>
        </w:rPr>
        <w:t>1）参赛机构应提交符合竞赛任务书要求的概念方案等竞赛文件，由概念方案评审委员会进行评审，并在专家评审排序的基础上，报相关部门决策最优方案，并由最优单位完善概念方案成果。</w:t>
      </w:r>
    </w:p>
    <w:p>
      <w:pPr>
        <w:spacing w:line="360" w:lineRule="auto"/>
        <w:ind w:firstLine="420" w:firstLineChars="200"/>
      </w:pPr>
      <w:r>
        <w:rPr>
          <w:rFonts w:hint="eastAsia"/>
        </w:rPr>
        <w:t>2）每家入围参赛机构只允许提交一份竞赛文件。</w:t>
      </w:r>
    </w:p>
    <w:p>
      <w:pPr>
        <w:spacing w:line="360" w:lineRule="auto"/>
        <w:ind w:firstLine="420" w:firstLineChars="200"/>
      </w:pPr>
    </w:p>
    <w:p>
      <w:pPr>
        <w:pStyle w:val="3"/>
      </w:pPr>
      <w:bookmarkStart w:id="14" w:name="_Toc30035"/>
      <w:bookmarkStart w:id="15" w:name="_Toc21"/>
      <w:r>
        <w:rPr>
          <w:rFonts w:hint="eastAsia"/>
        </w:rPr>
        <w:t>4. 竞赛日程</w:t>
      </w:r>
      <w:bookmarkEnd w:id="14"/>
      <w:bookmarkEnd w:id="15"/>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365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jc w:val="center"/>
            </w:pPr>
            <w:r>
              <w:rPr>
                <w:rFonts w:hint="eastAsia"/>
              </w:rPr>
              <w:t>阶段</w:t>
            </w:r>
          </w:p>
        </w:tc>
        <w:tc>
          <w:tcPr>
            <w:tcW w:w="2322" w:type="dxa"/>
          </w:tcPr>
          <w:p>
            <w:pPr>
              <w:jc w:val="center"/>
            </w:pPr>
            <w:r>
              <w:rPr>
                <w:rFonts w:hint="eastAsia"/>
              </w:rPr>
              <w:t>时间</w:t>
            </w:r>
          </w:p>
        </w:tc>
        <w:tc>
          <w:tcPr>
            <w:tcW w:w="3658" w:type="dxa"/>
          </w:tcPr>
          <w:p>
            <w:pPr>
              <w:jc w:val="center"/>
            </w:pPr>
            <w:r>
              <w:rPr>
                <w:rFonts w:hint="eastAsia"/>
              </w:rPr>
              <w:t>事项</w:t>
            </w:r>
          </w:p>
        </w:tc>
        <w:tc>
          <w:tcPr>
            <w:tcW w:w="986" w:type="dxa"/>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restart"/>
          </w:tcPr>
          <w:p>
            <w:r>
              <w:rPr>
                <w:rFonts w:hint="eastAsia"/>
              </w:rPr>
              <w:t>报名及资格预审阶段</w:t>
            </w:r>
          </w:p>
        </w:tc>
        <w:tc>
          <w:tcPr>
            <w:tcW w:w="2322" w:type="dxa"/>
          </w:tcPr>
          <w:p>
            <w:r>
              <w:rPr>
                <w:rFonts w:hint="eastAsia"/>
              </w:rPr>
              <w:t>2020年</w:t>
            </w:r>
            <w:r>
              <w:t>8</w:t>
            </w:r>
            <w:r>
              <w:rPr>
                <w:rFonts w:hint="eastAsia"/>
              </w:rPr>
              <w:t>月</w:t>
            </w:r>
            <w:r>
              <w:t>25</w:t>
            </w:r>
            <w:r>
              <w:rPr>
                <w:rFonts w:hint="eastAsia"/>
              </w:rPr>
              <w:t>日</w:t>
            </w:r>
          </w:p>
        </w:tc>
        <w:tc>
          <w:tcPr>
            <w:tcW w:w="3658" w:type="dxa"/>
          </w:tcPr>
          <w:p>
            <w:r>
              <w:rPr>
                <w:rFonts w:hint="eastAsia"/>
              </w:rPr>
              <w:t>发布竞赛公告及接受报名</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8</w:t>
            </w:r>
            <w:r>
              <w:rPr>
                <w:rFonts w:hint="eastAsia"/>
              </w:rPr>
              <w:t>月</w:t>
            </w:r>
            <w:r>
              <w:t>30</w:t>
            </w:r>
            <w:r>
              <w:rPr>
                <w:rFonts w:hint="eastAsia"/>
              </w:rPr>
              <w:t>日</w:t>
            </w:r>
            <w:r>
              <w:t>17</w:t>
            </w:r>
            <w:r>
              <w:rPr>
                <w:rFonts w:hint="eastAsia"/>
              </w:rPr>
              <w:t>时前</w:t>
            </w:r>
          </w:p>
        </w:tc>
        <w:tc>
          <w:tcPr>
            <w:tcW w:w="3658" w:type="dxa"/>
          </w:tcPr>
          <w:p>
            <w:r>
              <w:rPr>
                <w:rFonts w:hint="eastAsia"/>
              </w:rPr>
              <w:t>将填写完的《附件1：报名简表》WORD文件发送到指定邮箱</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2020年9月</w:t>
            </w:r>
            <w:r>
              <w:t>3</w:t>
            </w:r>
            <w:r>
              <w:rPr>
                <w:rFonts w:hint="eastAsia"/>
              </w:rPr>
              <w:t>日</w:t>
            </w:r>
            <w:r>
              <w:t>17</w:t>
            </w:r>
            <w:r>
              <w:rPr>
                <w:rFonts w:hint="eastAsia"/>
              </w:rPr>
              <w:t>时前</w:t>
            </w:r>
          </w:p>
        </w:tc>
        <w:tc>
          <w:tcPr>
            <w:tcW w:w="3658" w:type="dxa"/>
          </w:tcPr>
          <w:p>
            <w:r>
              <w:rPr>
                <w:rFonts w:hint="eastAsia"/>
              </w:rPr>
              <w:t>资格预审资料提交截止</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9</w:t>
            </w:r>
            <w:r>
              <w:rPr>
                <w:rFonts w:hint="eastAsia"/>
              </w:rPr>
              <w:t>月</w:t>
            </w:r>
            <w:r>
              <w:t>4</w:t>
            </w:r>
            <w:r>
              <w:rPr>
                <w:rFonts w:hint="eastAsia"/>
              </w:rPr>
              <w:t>日（暂定）</w:t>
            </w:r>
          </w:p>
        </w:tc>
        <w:tc>
          <w:tcPr>
            <w:tcW w:w="3658" w:type="dxa"/>
          </w:tcPr>
          <w:p>
            <w:r>
              <w:rPr>
                <w:rFonts w:hint="eastAsia"/>
              </w:rPr>
              <w:t>资格预审会</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9</w:t>
            </w:r>
            <w:r>
              <w:rPr>
                <w:rFonts w:hint="eastAsia"/>
              </w:rPr>
              <w:t>月</w:t>
            </w:r>
            <w:r>
              <w:t>4</w:t>
            </w:r>
            <w:r>
              <w:rPr>
                <w:rFonts w:hint="eastAsia"/>
              </w:rPr>
              <w:t>日（暂定）</w:t>
            </w:r>
          </w:p>
        </w:tc>
        <w:tc>
          <w:tcPr>
            <w:tcW w:w="3658" w:type="dxa"/>
          </w:tcPr>
          <w:p>
            <w:r>
              <w:rPr>
                <w:rFonts w:hint="eastAsia"/>
              </w:rPr>
              <w:t>公布预审结果</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restart"/>
          </w:tcPr>
          <w:p>
            <w:r>
              <w:rPr>
                <w:rFonts w:hint="eastAsia"/>
              </w:rPr>
              <w:t>竞赛阶段</w:t>
            </w:r>
          </w:p>
        </w:tc>
        <w:tc>
          <w:tcPr>
            <w:tcW w:w="2322" w:type="dxa"/>
          </w:tcPr>
          <w:p>
            <w:r>
              <w:rPr>
                <w:rFonts w:hint="eastAsia"/>
              </w:rPr>
              <w:t>2020年</w:t>
            </w:r>
            <w:r>
              <w:t>9</w:t>
            </w:r>
            <w:r>
              <w:rPr>
                <w:rFonts w:hint="eastAsia"/>
              </w:rPr>
              <w:t>月</w:t>
            </w:r>
            <w:r>
              <w:t>7</w:t>
            </w:r>
            <w:r>
              <w:rPr>
                <w:rFonts w:hint="eastAsia"/>
              </w:rPr>
              <w:t>日（暂定）</w:t>
            </w:r>
          </w:p>
        </w:tc>
        <w:tc>
          <w:tcPr>
            <w:tcW w:w="3658" w:type="dxa"/>
          </w:tcPr>
          <w:p>
            <w:r>
              <w:rPr>
                <w:rFonts w:hint="eastAsia"/>
              </w:rPr>
              <w:t>踏勘答疑会，参赛单位递交《参赛确认函》</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9</w:t>
            </w:r>
            <w:r>
              <w:rPr>
                <w:rFonts w:hint="eastAsia"/>
              </w:rPr>
              <w:t>月</w:t>
            </w:r>
            <w:r>
              <w:t>8</w:t>
            </w:r>
            <w:r>
              <w:rPr>
                <w:rFonts w:hint="eastAsia"/>
              </w:rPr>
              <w:t>日至2020年</w:t>
            </w:r>
            <w:r>
              <w:t>9</w:t>
            </w:r>
            <w:r>
              <w:rPr>
                <w:rFonts w:hint="eastAsia"/>
              </w:rPr>
              <w:t>月</w:t>
            </w:r>
            <w:r>
              <w:t>28</w:t>
            </w:r>
            <w:r>
              <w:rPr>
                <w:rFonts w:hint="eastAsia"/>
              </w:rPr>
              <w:t>日</w:t>
            </w:r>
          </w:p>
        </w:tc>
        <w:tc>
          <w:tcPr>
            <w:tcW w:w="3658" w:type="dxa"/>
          </w:tcPr>
          <w:p>
            <w:r>
              <w:rPr>
                <w:rFonts w:hint="eastAsia"/>
              </w:rPr>
              <w:t>竞赛文件编制周期（含答疑澄清）</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9</w:t>
            </w:r>
            <w:r>
              <w:rPr>
                <w:rFonts w:hint="eastAsia"/>
              </w:rPr>
              <w:t>月</w:t>
            </w:r>
            <w:r>
              <w:t>28</w:t>
            </w:r>
            <w:r>
              <w:rPr>
                <w:rFonts w:hint="eastAsia"/>
              </w:rPr>
              <w:t>日</w:t>
            </w:r>
            <w:r>
              <w:t>9</w:t>
            </w:r>
            <w:r>
              <w:rPr>
                <w:rFonts w:hint="eastAsia"/>
              </w:rPr>
              <w:t>时前</w:t>
            </w:r>
          </w:p>
        </w:tc>
        <w:tc>
          <w:tcPr>
            <w:tcW w:w="3658" w:type="dxa"/>
          </w:tcPr>
          <w:p>
            <w:r>
              <w:rPr>
                <w:rFonts w:hint="eastAsia"/>
              </w:rPr>
              <w:t>竞赛文件提交截止日</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9</w:t>
            </w:r>
            <w:r>
              <w:rPr>
                <w:rFonts w:hint="eastAsia"/>
              </w:rPr>
              <w:t>月</w:t>
            </w:r>
            <w:r>
              <w:t>29</w:t>
            </w:r>
            <w:r>
              <w:rPr>
                <w:rFonts w:hint="eastAsia"/>
              </w:rPr>
              <w:t>日（暂定）</w:t>
            </w:r>
          </w:p>
        </w:tc>
        <w:tc>
          <w:tcPr>
            <w:tcW w:w="3658" w:type="dxa"/>
          </w:tcPr>
          <w:p>
            <w:r>
              <w:rPr>
                <w:rFonts w:hint="eastAsia"/>
              </w:rPr>
              <w:t>专家评审会</w:t>
            </w:r>
          </w:p>
        </w:tc>
        <w:tc>
          <w:tcPr>
            <w:tcW w:w="9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2" w:type="dxa"/>
            <w:vMerge w:val="continue"/>
          </w:tcPr>
          <w:p/>
        </w:tc>
        <w:tc>
          <w:tcPr>
            <w:tcW w:w="2322" w:type="dxa"/>
          </w:tcPr>
          <w:p>
            <w:r>
              <w:rPr>
                <w:rFonts w:hint="eastAsia"/>
              </w:rPr>
              <w:t>2020年</w:t>
            </w:r>
            <w:r>
              <w:t>9</w:t>
            </w:r>
            <w:r>
              <w:rPr>
                <w:rFonts w:hint="eastAsia"/>
              </w:rPr>
              <w:t>月</w:t>
            </w:r>
            <w:r>
              <w:t>29</w:t>
            </w:r>
            <w:r>
              <w:rPr>
                <w:rFonts w:hint="eastAsia"/>
              </w:rPr>
              <w:t>日至2020年</w:t>
            </w:r>
            <w:r>
              <w:t>9</w:t>
            </w:r>
            <w:r>
              <w:rPr>
                <w:rFonts w:hint="eastAsia"/>
              </w:rPr>
              <w:t>月</w:t>
            </w:r>
            <w:r>
              <w:t>30</w:t>
            </w:r>
            <w:r>
              <w:rPr>
                <w:rFonts w:hint="eastAsia"/>
              </w:rPr>
              <w:t>日</w:t>
            </w:r>
          </w:p>
        </w:tc>
        <w:tc>
          <w:tcPr>
            <w:tcW w:w="3658" w:type="dxa"/>
          </w:tcPr>
          <w:p>
            <w:r>
              <w:rPr>
                <w:rFonts w:hint="eastAsia"/>
              </w:rPr>
              <w:t>决策最优方案，并由最优单位完善概念方案成果</w:t>
            </w:r>
          </w:p>
        </w:tc>
        <w:tc>
          <w:tcPr>
            <w:tcW w:w="986" w:type="dxa"/>
          </w:tcPr>
          <w:p/>
        </w:tc>
      </w:tr>
    </w:tbl>
    <w:p/>
    <w:p>
      <w:pPr>
        <w:pStyle w:val="3"/>
      </w:pPr>
      <w:bookmarkStart w:id="16" w:name="_Toc15100"/>
      <w:bookmarkStart w:id="17" w:name="_Toc22183"/>
      <w:r>
        <w:rPr>
          <w:rFonts w:hint="eastAsia"/>
        </w:rPr>
        <w:t>5. 资格预审文件</w:t>
      </w:r>
      <w:bookmarkEnd w:id="16"/>
      <w:bookmarkEnd w:id="17"/>
    </w:p>
    <w:p>
      <w:pPr>
        <w:spacing w:line="360" w:lineRule="auto"/>
        <w:ind w:firstLine="420" w:firstLineChars="200"/>
      </w:pPr>
      <w:r>
        <w:rPr>
          <w:rFonts w:hint="eastAsia"/>
        </w:rPr>
        <w:t>5.1 资格预审文件的组成</w:t>
      </w:r>
    </w:p>
    <w:p>
      <w:pPr>
        <w:spacing w:line="360" w:lineRule="auto"/>
        <w:ind w:firstLine="420" w:firstLineChars="200"/>
      </w:pPr>
      <w:r>
        <w:rPr>
          <w:rFonts w:hint="eastAsia"/>
        </w:rPr>
        <w:t>1）报名表（详见附件 2，若以下报名材料与报名表要求提供的内容重复，填写报名表即可）；</w:t>
      </w:r>
    </w:p>
    <w:p>
      <w:pPr>
        <w:spacing w:line="360" w:lineRule="auto"/>
        <w:ind w:firstLine="420" w:firstLineChars="200"/>
      </w:pPr>
      <w:r>
        <w:rPr>
          <w:rFonts w:hint="eastAsia"/>
        </w:rPr>
        <w:t>2）设计机构简介；</w:t>
      </w:r>
    </w:p>
    <w:p>
      <w:pPr>
        <w:spacing w:line="360" w:lineRule="auto"/>
        <w:ind w:firstLine="420" w:firstLineChars="200"/>
      </w:pPr>
      <w:r>
        <w:rPr>
          <w:rFonts w:hint="eastAsia"/>
        </w:rPr>
        <w:t>3）有效的营业执照（或商业登记证明）复印件；</w:t>
      </w:r>
    </w:p>
    <w:p>
      <w:pPr>
        <w:spacing w:line="360" w:lineRule="auto"/>
        <w:ind w:firstLine="420" w:firstLineChars="200"/>
      </w:pPr>
      <w:r>
        <w:rPr>
          <w:rFonts w:hint="eastAsia"/>
        </w:rPr>
        <w:t>4）资质证明文件或获奖文件（复印件，加盖公章）（如有）;</w:t>
      </w:r>
    </w:p>
    <w:p>
      <w:pPr>
        <w:spacing w:line="360" w:lineRule="auto"/>
        <w:ind w:firstLine="420" w:firstLineChars="200"/>
      </w:pPr>
      <w:r>
        <w:rPr>
          <w:rFonts w:hint="eastAsia"/>
        </w:rPr>
        <w:t>5）报名机构、首席（主创）设计师近五年类似项目证明文件（若超过 3 个项目业绩时，自行择优提供3个项目业绩），并提供以下证明材料：优胜奖通知书或设计合同首页、负责人页及盖章签字页复印件；设计作品的相关照片或效果图等；设计作品的委托方的有效办公电话及联系人等相关证明材料。</w:t>
      </w:r>
    </w:p>
    <w:p>
      <w:pPr>
        <w:spacing w:line="360" w:lineRule="auto"/>
        <w:ind w:firstLine="420" w:firstLineChars="200"/>
      </w:pPr>
      <w:r>
        <w:rPr>
          <w:rFonts w:hint="eastAsia"/>
        </w:rPr>
        <w:t>6）本项目首席（主创）设计师（个人简介）及设计团队情况介绍，需提供：首席（主创）设计师及设计团队人员简介、个人职业资质证明文件；</w:t>
      </w:r>
    </w:p>
    <w:p>
      <w:pPr>
        <w:spacing w:line="360" w:lineRule="auto"/>
        <w:ind w:firstLine="420" w:firstLineChars="200"/>
      </w:pPr>
      <w:r>
        <w:rPr>
          <w:rFonts w:hint="eastAsia"/>
        </w:rPr>
        <w:t>7）法人代表证明、法人代表授权委托书（原件，加盖公章或签字）、委托人身份证（复印件，加盖公章）（如有）；</w:t>
      </w:r>
    </w:p>
    <w:p>
      <w:pPr>
        <w:spacing w:line="360" w:lineRule="auto"/>
        <w:ind w:firstLine="420" w:firstLineChars="200"/>
      </w:pPr>
      <w:r>
        <w:t>8</w:t>
      </w:r>
      <w:r>
        <w:rPr>
          <w:rFonts w:hint="eastAsia"/>
        </w:rPr>
        <w:t>）参赛机构认为有必要提供的其他材料。</w:t>
      </w:r>
    </w:p>
    <w:p>
      <w:pPr>
        <w:spacing w:line="360" w:lineRule="auto"/>
        <w:ind w:firstLine="420" w:firstLineChars="200"/>
      </w:pPr>
      <w:r>
        <w:rPr>
          <w:rFonts w:hint="eastAsia"/>
        </w:rPr>
        <w:t>备注：</w:t>
      </w:r>
    </w:p>
    <w:p>
      <w:pPr>
        <w:spacing w:line="360" w:lineRule="auto"/>
        <w:ind w:firstLine="420"/>
      </w:pPr>
      <w:r>
        <w:rPr>
          <w:rFonts w:hint="eastAsia"/>
        </w:rPr>
        <w:t>①以设计联合体名义报名的参赛申请人，应提交所有联合体设计机构共同签署的“设计联合体协议书”（详见附件 5），并明确牵头设计的主体机构，联合体各成员机构的报名文件均须分别加盖各自机构的公章；</w:t>
      </w:r>
    </w:p>
    <w:p>
      <w:pPr>
        <w:spacing w:line="360" w:lineRule="auto"/>
        <w:ind w:firstLine="420" w:firstLineChars="200"/>
      </w:pPr>
      <w:r>
        <w:rPr>
          <w:rFonts w:hint="eastAsia"/>
        </w:rPr>
        <w:t>②以设计联合体名义报名的参赛申请人，各成员机构需分别填写报名表、提供上述资料；以上所有资料均需加盖机构公章或签字。</w:t>
      </w:r>
    </w:p>
    <w:p>
      <w:pPr>
        <w:spacing w:line="360" w:lineRule="auto"/>
        <w:ind w:firstLine="420" w:firstLineChars="200"/>
      </w:pPr>
      <w:r>
        <w:rPr>
          <w:rFonts w:hint="eastAsia"/>
        </w:rPr>
        <w:t>③类似项目，指建筑面积1</w:t>
      </w:r>
      <w:r>
        <w:t>0</w:t>
      </w:r>
      <w:r>
        <w:rPr>
          <w:rFonts w:hint="eastAsia"/>
        </w:rPr>
        <w:t>万平方米（或以上）的公共建筑工程（如：商业或综合体项目或甲级写字楼等）或超高层公共建筑等。</w:t>
      </w:r>
    </w:p>
    <w:p>
      <w:pPr>
        <w:spacing w:line="360" w:lineRule="auto"/>
        <w:ind w:firstLine="420" w:firstLineChars="200"/>
      </w:pPr>
      <w:r>
        <w:rPr>
          <w:rFonts w:hint="eastAsia"/>
        </w:rPr>
        <w:t>5.2 资格预审文件的编制</w:t>
      </w:r>
    </w:p>
    <w:p>
      <w:pPr>
        <w:spacing w:line="360" w:lineRule="auto"/>
        <w:ind w:firstLine="420" w:firstLineChars="200"/>
      </w:pPr>
      <w:r>
        <w:rPr>
          <w:rFonts w:hint="eastAsia"/>
        </w:rPr>
        <w:t>1）书面文本内容宜装订成册，并列目录。文本 A4 尺寸，1 正本 2 副本，不超过 30 张纸内容（双面打印，页数不宜超过 60 页，页数限制不含封面封底扉页和目录），以联合体形式提交的内容则不宜超过70 页。</w:t>
      </w:r>
    </w:p>
    <w:p>
      <w:pPr>
        <w:spacing w:line="360" w:lineRule="auto"/>
        <w:ind w:firstLine="420" w:firstLineChars="200"/>
      </w:pPr>
      <w:r>
        <w:rPr>
          <w:rFonts w:hint="eastAsia"/>
        </w:rPr>
        <w:t>2）以上文件的电子文档拷贝到 U 盘并与文本一并在截至日期前提交，同时将填写完成的《附件 1：报名简表》（Word 格式）在规定的时间内发送到代理方邮箱，邮箱号:939331236@qq.com。</w:t>
      </w:r>
    </w:p>
    <w:p>
      <w:pPr>
        <w:spacing w:line="360" w:lineRule="auto"/>
        <w:ind w:firstLine="420" w:firstLineChars="200"/>
      </w:pPr>
      <w:r>
        <w:rPr>
          <w:rFonts w:hint="eastAsia"/>
        </w:rPr>
        <w:t>3）报名文件材料须简装（推荐胶装），软皮封面装订成册，不建议复杂装订如圈装，内页不建议厚纸张。</w:t>
      </w:r>
    </w:p>
    <w:p>
      <w:pPr>
        <w:spacing w:line="360" w:lineRule="auto"/>
        <w:ind w:firstLine="420" w:firstLineChars="200"/>
      </w:pPr>
      <w:r>
        <w:rPr>
          <w:rFonts w:hint="eastAsia"/>
        </w:rPr>
        <w:t>4）报名文件正本应加盖公章及签名，报名文件副本无需公章及签名原件，副本与正本不一致时以正本为准。</w:t>
      </w:r>
    </w:p>
    <w:p>
      <w:pPr>
        <w:spacing w:line="360" w:lineRule="auto"/>
        <w:ind w:firstLine="420" w:firstLineChars="200"/>
      </w:pPr>
      <w:r>
        <w:rPr>
          <w:rFonts w:hint="eastAsia"/>
        </w:rPr>
        <w:t>5）报名文件重点部分必须中文或中英双语，其他部分的语言必须以中文为主；不得完全使用英文或其他外文；中英文不一致之处，以中文为准。</w:t>
      </w:r>
    </w:p>
    <w:p>
      <w:pPr>
        <w:spacing w:line="360" w:lineRule="auto"/>
        <w:ind w:firstLine="420" w:firstLineChars="200"/>
      </w:pPr>
      <w:r>
        <w:rPr>
          <w:rFonts w:hint="eastAsia"/>
        </w:rPr>
        <w:t>6）所有报名文件只需要一个最外包装，内部不需分别封装，最外包装需密封。请避免多层过度包装（外包装上需标注“设计机构全称”+“项目名称”）。</w:t>
      </w:r>
    </w:p>
    <w:p>
      <w:pPr>
        <w:spacing w:line="360" w:lineRule="auto"/>
        <w:ind w:firstLine="420" w:firstLineChars="200"/>
      </w:pPr>
      <w:r>
        <w:rPr>
          <w:rFonts w:hint="eastAsia"/>
        </w:rPr>
        <w:t>☆设计机构须将上述要求的所有报名资料于 2020 年9月3日17:00点前送往（可快递）东莞市东城下桥银门街建筑之家七楼，收件人：马工，0769-22652033(13929225368）。在上述规定截止时间后送达的资格预审文件，将被主办方视为无效文件，并退回给设计机构（参赛申请人）。</w:t>
      </w:r>
    </w:p>
    <w:p>
      <w:pPr>
        <w:pStyle w:val="3"/>
      </w:pPr>
      <w:bookmarkStart w:id="18" w:name="_Toc27324"/>
      <w:bookmarkStart w:id="19" w:name="_Toc23086"/>
      <w:r>
        <w:rPr>
          <w:rFonts w:hint="eastAsia"/>
        </w:rPr>
        <w:t>6. 资格预审原则／细则</w:t>
      </w:r>
      <w:bookmarkEnd w:id="18"/>
      <w:bookmarkEnd w:id="19"/>
    </w:p>
    <w:p>
      <w:pPr>
        <w:spacing w:line="360" w:lineRule="auto"/>
        <w:ind w:firstLine="420" w:firstLineChars="200"/>
      </w:pPr>
      <w:r>
        <w:rPr>
          <w:rFonts w:hint="eastAsia"/>
        </w:rPr>
        <w:t>6.1 主办方负责组建资格预审委员会，成员由 5 名专家（专业为建筑、城市规划、景观等）及 2 名主办方代表组成。</w:t>
      </w:r>
    </w:p>
    <w:p>
      <w:pPr>
        <w:spacing w:line="360" w:lineRule="auto"/>
        <w:ind w:firstLine="420" w:firstLineChars="200"/>
      </w:pPr>
      <w:r>
        <w:rPr>
          <w:rFonts w:hint="eastAsia"/>
        </w:rPr>
        <w:t>6.2 资格预审委员会由评审主席主持评审工作，评审主席通过推举产生，在评审中与其他成员有同等表决权；具体评审细则由资格预审委员会确定。</w:t>
      </w:r>
    </w:p>
    <w:p>
      <w:pPr>
        <w:spacing w:line="360" w:lineRule="auto"/>
        <w:ind w:firstLine="420" w:firstLineChars="200"/>
      </w:pPr>
      <w:r>
        <w:rPr>
          <w:rFonts w:hint="eastAsia"/>
        </w:rPr>
        <w:t>6.3 资格预审办法</w:t>
      </w:r>
    </w:p>
    <w:p>
      <w:pPr>
        <w:spacing w:line="360" w:lineRule="auto"/>
        <w:ind w:firstLine="420" w:firstLineChars="200"/>
      </w:pPr>
      <w:r>
        <w:rPr>
          <w:rFonts w:hint="eastAsia"/>
        </w:rPr>
        <w:t>使用记名投票（票决计分）的方法，依据票决计分汇总由高到低依次选出三家入围的参赛机构，同时评选出两家备选参赛机构（须排序），如前三家入围的参赛机构退出第二阶段竞赛，则备选参赛机构依序替补。</w:t>
      </w:r>
    </w:p>
    <w:p>
      <w:pPr>
        <w:spacing w:line="360" w:lineRule="auto"/>
        <w:ind w:firstLine="420" w:firstLineChars="200"/>
      </w:pPr>
    </w:p>
    <w:p>
      <w:pPr>
        <w:pStyle w:val="3"/>
      </w:pPr>
      <w:bookmarkStart w:id="20" w:name="_Toc14147"/>
      <w:bookmarkStart w:id="21" w:name="_Toc27343"/>
      <w:r>
        <w:rPr>
          <w:rFonts w:hint="eastAsia"/>
        </w:rPr>
        <w:t>7. 设计竞赛评审原则／细则</w:t>
      </w:r>
      <w:bookmarkEnd w:id="20"/>
      <w:bookmarkEnd w:id="21"/>
    </w:p>
    <w:p>
      <w:pPr>
        <w:spacing w:line="360" w:lineRule="auto"/>
        <w:ind w:firstLine="420" w:firstLineChars="200"/>
      </w:pPr>
      <w:r>
        <w:rPr>
          <w:rFonts w:hint="eastAsia"/>
        </w:rPr>
        <w:t>7.1 概念方案阶段</w:t>
      </w:r>
    </w:p>
    <w:p>
      <w:pPr>
        <w:spacing w:line="360" w:lineRule="auto"/>
        <w:ind w:firstLine="420" w:firstLineChars="200"/>
      </w:pPr>
      <w:r>
        <w:rPr>
          <w:rFonts w:hint="eastAsia"/>
        </w:rPr>
        <w:t>1) 三家入围设计机构根据竞赛设计任务书，提供概念方案等竞赛文件。</w:t>
      </w:r>
    </w:p>
    <w:p>
      <w:pPr>
        <w:spacing w:line="360" w:lineRule="auto"/>
        <w:ind w:firstLine="420" w:firstLineChars="200"/>
      </w:pPr>
      <w:r>
        <w:rPr>
          <w:rFonts w:hint="eastAsia"/>
        </w:rPr>
        <w:t>2)由主办方负责组建概念方案评审委员会，具体评审细则按东莞市中心城区 “一心两轴三片区”现场指挥部要求执行。</w:t>
      </w:r>
    </w:p>
    <w:p>
      <w:pPr>
        <w:spacing w:line="360" w:lineRule="auto"/>
        <w:ind w:firstLine="420" w:firstLineChars="200"/>
      </w:pPr>
      <w:r>
        <w:rPr>
          <w:rFonts w:hint="eastAsia"/>
        </w:rPr>
        <w:t>3）概念方案评审委员会在过程审查及评选环节，将要求三家入选设计机构进行现场汇报（须由入选设计机构的首席（主创）设计师汇报方案并回答评委的疑问，届时将统一通知具体汇报细节及要求）。评审过程中发现的问题和产生的纠纷，由评审委员会讨论后，最终交由评审主席裁决。</w:t>
      </w:r>
    </w:p>
    <w:p>
      <w:pPr>
        <w:spacing w:line="360" w:lineRule="auto"/>
        <w:ind w:firstLine="420" w:firstLineChars="200"/>
      </w:pPr>
      <w:r>
        <w:t>4</w:t>
      </w:r>
      <w:r>
        <w:rPr>
          <w:rFonts w:hint="eastAsia"/>
        </w:rPr>
        <w:t>） 概念方案评审委员会通过评审后，形成评审排序报相关部门决策最优方案，并由最优单位完善概念方案成果。</w:t>
      </w:r>
    </w:p>
    <w:p>
      <w:pPr>
        <w:spacing w:line="360" w:lineRule="auto"/>
        <w:ind w:firstLine="420" w:firstLineChars="200"/>
      </w:pPr>
      <w:r>
        <w:rPr>
          <w:rFonts w:hint="eastAsia"/>
        </w:rPr>
        <w:t>7.2 设计成果要求</w:t>
      </w:r>
    </w:p>
    <w:p>
      <w:pPr>
        <w:spacing w:line="360" w:lineRule="auto"/>
        <w:ind w:firstLine="420" w:firstLineChars="200"/>
      </w:pPr>
      <w:r>
        <w:rPr>
          <w:rFonts w:hint="eastAsia"/>
        </w:rPr>
        <w:t>1）设计成果必须符合中华人民共和国、广东省及东莞市有关城市规划与城市设计的法律、法规、规章、规范性文件和行业标准（如《东莞市城市规划管理技术规定 2010 版》）的规定要求，满足竞赛文件的要求，内容表达必须做到完整、清晰、准确。</w:t>
      </w:r>
    </w:p>
    <w:p>
      <w:pPr>
        <w:spacing w:line="360" w:lineRule="auto"/>
        <w:ind w:firstLine="420" w:firstLineChars="200"/>
      </w:pPr>
      <w:r>
        <w:rPr>
          <w:rFonts w:hint="eastAsia"/>
        </w:rPr>
        <w:t>2）设计成果必须经参赛机构或设计联合体签章方为有效。参赛机构应在一份完整的设计成果正本文件的封底背面右下角标明设计机构名称，由设计机构盖章，并单独封装。</w:t>
      </w:r>
    </w:p>
    <w:p>
      <w:pPr>
        <w:spacing w:line="360" w:lineRule="auto"/>
        <w:ind w:firstLine="420" w:firstLineChars="200"/>
      </w:pPr>
      <w:r>
        <w:rPr>
          <w:rFonts w:hint="eastAsia"/>
        </w:rPr>
        <w:t>3）所有设计成果（详见“设计任务书”的设计成果要求）必须按时一次交齐或按主办方实际要求进行提交。</w:t>
      </w:r>
    </w:p>
    <w:p>
      <w:pPr>
        <w:spacing w:line="360" w:lineRule="auto"/>
        <w:ind w:firstLine="420" w:firstLineChars="200"/>
      </w:pPr>
      <w:r>
        <w:rPr>
          <w:rFonts w:hint="eastAsia"/>
        </w:rPr>
        <w:t>4）所有设计成果须在规定截止时间前送至或邮寄至主办方指定地点（具体地点将另行通知）。</w:t>
      </w:r>
    </w:p>
    <w:p>
      <w:pPr>
        <w:spacing w:line="360" w:lineRule="auto"/>
        <w:ind w:firstLine="420" w:firstLineChars="200"/>
      </w:pPr>
      <w:r>
        <w:rPr>
          <w:rFonts w:hint="eastAsia"/>
        </w:rPr>
        <w:t>5）如各阶段评审委员会认为参赛机构提交的设计成果未达到当前阶段设计工作深度及要求的，主办方有权要求参赛机构作出按主办方（或现场指挥部）要求相关调整（包括重新提交成果文件等），否则，主办方将不予支付其该阶段的设计补偿费或奖金。</w:t>
      </w:r>
    </w:p>
    <w:p/>
    <w:p>
      <w:pPr>
        <w:pStyle w:val="3"/>
      </w:pPr>
      <w:bookmarkStart w:id="22" w:name="_Toc3701"/>
      <w:bookmarkStart w:id="23" w:name="_Toc27278"/>
      <w:r>
        <w:rPr>
          <w:rFonts w:hint="eastAsia"/>
        </w:rPr>
        <w:t>8. 设计费及有关费用分配</w:t>
      </w:r>
      <w:bookmarkEnd w:id="22"/>
      <w:bookmarkEnd w:id="23"/>
    </w:p>
    <w:p>
      <w:pPr>
        <w:spacing w:line="360" w:lineRule="auto"/>
        <w:ind w:firstLine="420" w:firstLineChars="200"/>
      </w:pPr>
      <w:r>
        <w:rPr>
          <w:rFonts w:hint="eastAsia"/>
        </w:rPr>
        <w:t>8.1 设计补偿费与奖金</w:t>
      </w:r>
    </w:p>
    <w:p>
      <w:pPr>
        <w:spacing w:line="360" w:lineRule="auto"/>
        <w:ind w:firstLine="420" w:firstLineChars="200"/>
      </w:pPr>
      <w:r>
        <w:rPr>
          <w:rFonts w:hint="eastAsia"/>
        </w:rPr>
        <w:t>1）被选出三家入围的参赛机构和两家备选参赛机构，在资格预审入围阶段不予支付设计补偿费与奖金。</w:t>
      </w:r>
    </w:p>
    <w:p>
      <w:pPr>
        <w:spacing w:line="360" w:lineRule="auto"/>
        <w:ind w:firstLine="420" w:firstLineChars="200"/>
      </w:pPr>
      <w:r>
        <w:rPr>
          <w:rFonts w:hint="eastAsia"/>
        </w:rPr>
        <w:t>2）最终报相关部门决策确定为最优方案单位的设计机构定义为第一名，可获得</w:t>
      </w:r>
      <w:r>
        <w:t>120</w:t>
      </w:r>
      <w:r>
        <w:rPr>
          <w:rFonts w:hint="eastAsia"/>
        </w:rPr>
        <w:t>万元人民币的设计补偿费与奖金（其中</w:t>
      </w:r>
      <w:r>
        <w:t>4</w:t>
      </w:r>
      <w:r>
        <w:rPr>
          <w:rFonts w:hint="eastAsia"/>
        </w:rPr>
        <w:t>0万元人民币为奖金）；未确定为最优方案单位但经专家评选排序较前的设计机构定义为第二名，可获得1</w:t>
      </w:r>
      <w:r>
        <w:t>00</w:t>
      </w:r>
      <w:r>
        <w:rPr>
          <w:rFonts w:hint="eastAsia"/>
        </w:rPr>
        <w:t>万元人民币的设计补偿费与奖金（其中</w:t>
      </w:r>
      <w:r>
        <w:t>2</w:t>
      </w:r>
      <w:r>
        <w:rPr>
          <w:rFonts w:hint="eastAsia"/>
        </w:rPr>
        <w:t>0万元人民币为奖金）；第三名，可获得</w:t>
      </w:r>
      <w:r>
        <w:t>80</w:t>
      </w:r>
      <w:r>
        <w:rPr>
          <w:rFonts w:hint="eastAsia"/>
        </w:rPr>
        <w:t>万元人民币的设计补偿费。</w:t>
      </w:r>
    </w:p>
    <w:p>
      <w:pPr>
        <w:spacing w:line="360" w:lineRule="auto"/>
        <w:ind w:firstLine="420" w:firstLineChars="200"/>
      </w:pPr>
      <w:r>
        <w:rPr>
          <w:rFonts w:hint="eastAsia"/>
        </w:rPr>
        <w:t>8.2 费用支付</w:t>
      </w:r>
    </w:p>
    <w:p>
      <w:pPr>
        <w:spacing w:line="360" w:lineRule="auto"/>
        <w:ind w:firstLine="420" w:firstLineChars="200"/>
      </w:pPr>
      <w:r>
        <w:rPr>
          <w:rFonts w:hint="eastAsia"/>
        </w:rPr>
        <w:t>本次竞赛的设计补偿费和奖金均以人民币支付，参赛机构应按照主办方要求配合完成各项支付手续，所获设计补偿费和奖金等产生的任何税金由参赛机构承担，须提供符合主办方要求的中国国内完税的增值税专用发票。设计补偿费在最终竞赛结果公示结束后（且没有异议）开始办理支付手续；第一名、第二名所获奖金须在优胜机构完成完善概念方案成果经主办方确认后，开始办理支付手续。国外设计机构授权国内合法独立法人代收款项，</w:t>
      </w:r>
      <w:bookmarkStart w:id="44" w:name="_GoBack"/>
      <w:bookmarkEnd w:id="44"/>
      <w:r>
        <w:rPr>
          <w:rFonts w:hint="eastAsia"/>
        </w:rPr>
        <w:t>因此产生的税费由设计机构自行承担。</w:t>
      </w:r>
    </w:p>
    <w:p>
      <w:pPr>
        <w:spacing w:line="360" w:lineRule="auto"/>
        <w:ind w:firstLine="420" w:firstLineChars="200"/>
      </w:pPr>
      <w:r>
        <w:rPr>
          <w:rFonts w:hint="eastAsia"/>
        </w:rPr>
        <w:t>8.3 其他</w:t>
      </w:r>
    </w:p>
    <w:p>
      <w:pPr>
        <w:spacing w:line="360" w:lineRule="auto"/>
        <w:ind w:firstLine="420" w:firstLineChars="200"/>
      </w:pPr>
      <w:r>
        <w:rPr>
          <w:rFonts w:hint="eastAsia"/>
        </w:rPr>
        <w:t>参赛机构参加本次竞赛所产生的所有费用（含差旅住宿费、重新提交成果文件等）均自行承担。</w:t>
      </w:r>
    </w:p>
    <w:p>
      <w:pPr>
        <w:spacing w:line="360" w:lineRule="auto"/>
        <w:ind w:firstLine="420" w:firstLineChars="200"/>
      </w:pPr>
    </w:p>
    <w:p>
      <w:pPr>
        <w:pStyle w:val="3"/>
      </w:pPr>
      <w:bookmarkStart w:id="24" w:name="_Toc3390"/>
      <w:bookmarkStart w:id="25" w:name="_Toc8603"/>
      <w:r>
        <w:rPr>
          <w:rFonts w:hint="eastAsia"/>
        </w:rPr>
        <w:t>9. 成果文件有效性</w:t>
      </w:r>
      <w:bookmarkEnd w:id="24"/>
      <w:bookmarkEnd w:id="25"/>
    </w:p>
    <w:p>
      <w:pPr>
        <w:spacing w:line="360" w:lineRule="auto"/>
        <w:ind w:firstLine="420" w:firstLineChars="200"/>
      </w:pPr>
      <w:r>
        <w:rPr>
          <w:rFonts w:hint="eastAsia"/>
        </w:rPr>
        <w:t>9.1 参赛机构提交的成果文件应符合中华人民共和国、广东省以及东莞市的有关城市规划与设计规范标准的法律、法规、规章、规范性文件和行业标准（如《东莞市城市规划管理技术规定 2010 版》）的规定和要求，满足设计任务书成果要求。</w:t>
      </w:r>
    </w:p>
    <w:p>
      <w:pPr>
        <w:spacing w:line="360" w:lineRule="auto"/>
        <w:ind w:firstLine="420" w:firstLineChars="200"/>
      </w:pPr>
      <w:r>
        <w:rPr>
          <w:rFonts w:hint="eastAsia"/>
        </w:rPr>
        <w:t>9.2 所有成果文件如若被评审委员会成员最终认为有下列情况之一的，将被视为无效。无效文件由主办方作报废处理：提交成果文件截止日后，擅自更改设计内容的；未按要求签署和递交《参赛确认函》的；成果文件逾期送达的；未按《竞赛文件》要求填写，内容不全，未响应《竞赛文件》设计任务的设计及成果要求的，经各阶段评审委员会评审未通过的；设计成果非原创及与其他同类作品雷同的。</w:t>
      </w:r>
    </w:p>
    <w:p>
      <w:pPr>
        <w:spacing w:line="360" w:lineRule="auto"/>
        <w:ind w:firstLine="420" w:firstLineChars="200"/>
      </w:pPr>
      <w:r>
        <w:rPr>
          <w:rFonts w:hint="eastAsia"/>
        </w:rPr>
        <w:t>9.3 无效设计成果由设计机构在收到通知后的 7 日内取回，主办方不予支付设计补偿费或奖金，逾期未取的无效设计成果，由主办方作废处理。</w:t>
      </w:r>
    </w:p>
    <w:p>
      <w:pPr>
        <w:spacing w:line="360" w:lineRule="auto"/>
        <w:ind w:firstLine="420" w:firstLineChars="200"/>
      </w:pPr>
      <w:r>
        <w:rPr>
          <w:rFonts w:hint="eastAsia"/>
        </w:rPr>
        <w:t>9.4 出现以下情形之一的，主办方有权终止本次竞赛：符合条件的参赛机构或做出实质响应的参赛机构不足 3 家的；竞赛任务因不可抗力取消的；出现影响竞赛公平、公正的违法、违规行为的。</w:t>
      </w:r>
    </w:p>
    <w:p>
      <w:pPr>
        <w:spacing w:line="360" w:lineRule="auto"/>
        <w:ind w:firstLine="420" w:firstLineChars="200"/>
      </w:pPr>
    </w:p>
    <w:p>
      <w:pPr>
        <w:pStyle w:val="3"/>
      </w:pPr>
      <w:bookmarkStart w:id="26" w:name="_Toc30473"/>
      <w:bookmarkStart w:id="27" w:name="_Toc21685"/>
      <w:r>
        <w:rPr>
          <w:rFonts w:hint="eastAsia"/>
        </w:rPr>
        <w:t>10.知识产权及相关法律</w:t>
      </w:r>
      <w:bookmarkEnd w:id="26"/>
      <w:bookmarkEnd w:id="27"/>
    </w:p>
    <w:p>
      <w:pPr>
        <w:spacing w:line="360" w:lineRule="auto"/>
        <w:ind w:firstLine="420" w:firstLineChars="200"/>
      </w:pPr>
      <w:r>
        <w:rPr>
          <w:rFonts w:hint="eastAsia"/>
        </w:rPr>
        <w:t>10.1 由主办方、代理方提供的资料、软件和其他物品，其所有权（包括版权）等合法权益归主办方、代理方。未经主办方、代理方书面同意，参赛机构不得擅自使用或交由任何第三方使用前述资料、软件和其他物品，参赛机构对此承担无限期的保密义务。否则，参赛机构应承担由此产生的所有责任并赔偿主办方、代理方因此遭受的所有损失。</w:t>
      </w:r>
    </w:p>
    <w:p>
      <w:pPr>
        <w:spacing w:line="360" w:lineRule="auto"/>
        <w:ind w:firstLine="420" w:firstLineChars="200"/>
      </w:pPr>
      <w:r>
        <w:rPr>
          <w:rFonts w:hint="eastAsia"/>
        </w:rPr>
        <w:t>10.2 参赛机构保证提交给主办方、代理方的策划设计图纸、相关文件、资料、方案等项目成果（包括中期和最终成果）以及实现该成果所使用的必要方法不侵犯主办方、代理方和任何第三方的合法权益（包括但不限于专利权、商标、著作权、厂商标识、服务标记、商业秘密、公民的肖像权等），否则，参赛机构应承担由此产生的所有责任并赔偿主办方、代理方因此遭受的所有损失。</w:t>
      </w:r>
    </w:p>
    <w:p>
      <w:pPr>
        <w:spacing w:line="360" w:lineRule="auto"/>
        <w:ind w:firstLine="420" w:firstLineChars="200"/>
      </w:pPr>
      <w:r>
        <w:rPr>
          <w:rFonts w:hint="eastAsia"/>
        </w:rPr>
        <w:t>10.3 所有参加本竞赛活动的设计成果署名权归设计机构所有，主办方、代理方有权使用其设计成果出版、展览，并通过传媒、专业杂志、专业书刊或其它形式介绍、展示及评价设计成果。</w:t>
      </w:r>
    </w:p>
    <w:p>
      <w:pPr>
        <w:spacing w:line="360" w:lineRule="auto"/>
        <w:ind w:firstLine="420" w:firstLineChars="200"/>
      </w:pPr>
      <w:r>
        <w:rPr>
          <w:rFonts w:hint="eastAsia"/>
        </w:rPr>
        <w:t>10.4 参赛机构应保证设计成果中所有内容均为设计机构原创，不得侵犯第三者知识产权。如发生侵权行为，将由涉及侵权的设计机构自行承担一切法律后果，主办方、代理方有权追究侵权人的相应的法律责任，取消其参与本次竞赛的资格，要求退回或不予支付涉嫌侵权的设计机构的相关费用并采取合理方式消除因此产生的负面影响。</w:t>
      </w:r>
    </w:p>
    <w:p>
      <w:pPr>
        <w:spacing w:line="360" w:lineRule="auto"/>
        <w:ind w:firstLine="420" w:firstLineChars="200"/>
      </w:pPr>
      <w:r>
        <w:rPr>
          <w:rFonts w:hint="eastAsia"/>
        </w:rPr>
        <w:t>10.5 最终获得本次竞赛第一名的设计机构，应保证其优胜设计方案仅为本项目所使用：在主办方支付完其第一名的设计奖金后，优胜机构不得使用本次竞赛第一名的优胜方案（包括且不限于提交给主办方、代理方的策划设计图纸、相关文件、资料、方案等项目各阶段成果）作为该设计机构参与未来其它任何竞赛、投标或建设项目的设计方案，且不得将此优胜方案转卖给任何其它个人、组织及机构。否则，该优胜机构应承担由此产生的所有责任并赔偿主办方、代理方因此遭受的所有损失。经甲方同意，该设计团队可将该设计成果投稿参加设计成果评比活动，奖项归属设计团队及甲方。</w:t>
      </w:r>
    </w:p>
    <w:p>
      <w:pPr>
        <w:spacing w:line="360" w:lineRule="auto"/>
        <w:ind w:firstLine="420" w:firstLineChars="200"/>
      </w:pPr>
    </w:p>
    <w:p>
      <w:pPr>
        <w:pStyle w:val="3"/>
      </w:pPr>
      <w:bookmarkStart w:id="28" w:name="_Toc28333"/>
      <w:bookmarkStart w:id="29" w:name="_Toc11"/>
      <w:r>
        <w:rPr>
          <w:rFonts w:hint="eastAsia"/>
        </w:rPr>
        <w:t>11.保密原则</w:t>
      </w:r>
      <w:bookmarkEnd w:id="28"/>
      <w:bookmarkEnd w:id="29"/>
    </w:p>
    <w:p>
      <w:pPr>
        <w:spacing w:line="360" w:lineRule="auto"/>
        <w:ind w:firstLine="420" w:firstLineChars="200"/>
      </w:pPr>
      <w:r>
        <w:rPr>
          <w:rFonts w:hint="eastAsia"/>
        </w:rPr>
        <w:t>11.1 公告发布后，直到授予优胜机构竞赛为止，凡属于对竞赛文件的审查、澄清、评价和比较的有关资料以及优胜候选机构的推荐情况、与评审有关的其他任何情况均应严格保密；任何有关的信息和资料均不得向参赛机构或上述工作无关的人员泄露。</w:t>
      </w:r>
    </w:p>
    <w:p>
      <w:pPr>
        <w:spacing w:line="360" w:lineRule="auto"/>
        <w:ind w:firstLine="420" w:firstLineChars="200"/>
      </w:pPr>
      <w:r>
        <w:rPr>
          <w:rFonts w:hint="eastAsia"/>
        </w:rPr>
        <w:t>11.2 主办方、代理方及评审专家在收到设计机构提交的成果文件后，应做好相应的保密工作。评审活动结束前任何人员或机构未经主办方、代理方或政府有关部门许可，都不得以任何方式披露、公开或展示成果文件，否则将追究其相关法律责任。</w:t>
      </w:r>
    </w:p>
    <w:p>
      <w:pPr>
        <w:spacing w:line="360" w:lineRule="auto"/>
        <w:ind w:firstLine="420" w:firstLineChars="200"/>
      </w:pPr>
      <w:r>
        <w:rPr>
          <w:rFonts w:hint="eastAsia"/>
        </w:rPr>
        <w:t>11.3 未公布最终评审结果之前，设计机构或其设计人员未征得主办方、代理方的许可，不得以任何方式披露、公开或展示设计成果或将设计成果允许任何第三方以任何形式使用，否则将追究其相应的法律责任，并取消本次竞赛的资格。</w:t>
      </w:r>
    </w:p>
    <w:p>
      <w:pPr>
        <w:spacing w:line="360" w:lineRule="auto"/>
        <w:ind w:firstLine="420" w:firstLineChars="200"/>
      </w:pPr>
    </w:p>
    <w:p>
      <w:pPr>
        <w:pStyle w:val="3"/>
      </w:pPr>
      <w:bookmarkStart w:id="30" w:name="_Toc10472"/>
      <w:bookmarkStart w:id="31" w:name="_Toc20807"/>
      <w:r>
        <w:rPr>
          <w:rFonts w:hint="eastAsia"/>
        </w:rPr>
        <w:t>12.争议解决</w:t>
      </w:r>
      <w:bookmarkEnd w:id="30"/>
      <w:bookmarkEnd w:id="31"/>
    </w:p>
    <w:p>
      <w:pPr>
        <w:spacing w:line="360" w:lineRule="auto"/>
        <w:ind w:firstLine="420" w:firstLineChars="200"/>
      </w:pPr>
      <w:r>
        <w:rPr>
          <w:rFonts w:hint="eastAsia"/>
        </w:rPr>
        <w:t>本次竞赛涉及的任何争议和知识产权相关问题均适用中华人民共和国法律（港澳台地区的法律除外）。本竞赛相关文件若发生争议，双方应友好协商解决；协商不成时，采用仲裁方式解决争议，仲裁机构为广州仲裁委员会东莞分会，仲裁地点为项目所在地。</w:t>
      </w:r>
    </w:p>
    <w:p>
      <w:pPr>
        <w:spacing w:line="360" w:lineRule="auto"/>
        <w:ind w:firstLine="420" w:firstLineChars="200"/>
      </w:pPr>
    </w:p>
    <w:p>
      <w:pPr>
        <w:pStyle w:val="3"/>
      </w:pPr>
      <w:bookmarkStart w:id="32" w:name="_Toc6793"/>
      <w:bookmarkStart w:id="33" w:name="_Toc15344"/>
      <w:r>
        <w:rPr>
          <w:rFonts w:hint="eastAsia"/>
        </w:rPr>
        <w:t>13.不正当竞争与纪律监督</w:t>
      </w:r>
      <w:bookmarkEnd w:id="32"/>
      <w:bookmarkEnd w:id="33"/>
    </w:p>
    <w:p>
      <w:pPr>
        <w:spacing w:line="360" w:lineRule="auto"/>
        <w:ind w:firstLine="420" w:firstLineChars="200"/>
      </w:pPr>
      <w:r>
        <w:rPr>
          <w:rFonts w:hint="eastAsia"/>
        </w:rPr>
        <w:t>13.1 严禁参赛机构向参与竞赛评审的有关人员行贿，使其泄露一切与竞赛评审工作相关的信息。</w:t>
      </w:r>
    </w:p>
    <w:p>
      <w:pPr>
        <w:spacing w:line="360" w:lineRule="auto"/>
        <w:ind w:firstLine="420" w:firstLineChars="200"/>
      </w:pPr>
      <w:r>
        <w:rPr>
          <w:rFonts w:hint="eastAsia"/>
        </w:rPr>
        <w:t>13.2 参赛机构在参赛过程中严禁互相串通、结盟，损害竞赛的公正性，或以任何方式影响其他参赛机构参与正当竞赛。</w:t>
      </w:r>
    </w:p>
    <w:p>
      <w:pPr>
        <w:spacing w:line="360" w:lineRule="auto"/>
        <w:ind w:firstLine="420" w:firstLineChars="200"/>
      </w:pPr>
      <w:r>
        <w:rPr>
          <w:rFonts w:hint="eastAsia"/>
        </w:rPr>
        <w:t>13.3 如发现参赛机构有上述不正当竞争行为，取消其参赛资格或优胜资格。</w:t>
      </w:r>
    </w:p>
    <w:p>
      <w:pPr>
        <w:spacing w:line="360" w:lineRule="auto"/>
        <w:ind w:firstLine="420" w:firstLineChars="200"/>
      </w:pPr>
    </w:p>
    <w:p>
      <w:pPr>
        <w:pStyle w:val="3"/>
      </w:pPr>
      <w:bookmarkStart w:id="34" w:name="_Toc3611"/>
      <w:bookmarkStart w:id="35" w:name="_Toc9167"/>
      <w:r>
        <w:rPr>
          <w:rFonts w:hint="eastAsia"/>
        </w:rPr>
        <w:t>14.语言、时间及计量单位</w:t>
      </w:r>
      <w:bookmarkEnd w:id="34"/>
      <w:bookmarkEnd w:id="35"/>
    </w:p>
    <w:p>
      <w:pPr>
        <w:spacing w:line="360" w:lineRule="auto"/>
        <w:ind w:firstLine="420" w:firstLineChars="200"/>
      </w:pPr>
      <w:r>
        <w:rPr>
          <w:rFonts w:hint="eastAsia"/>
        </w:rPr>
        <w:t>14.1 语 言</w:t>
      </w:r>
    </w:p>
    <w:p>
      <w:pPr>
        <w:spacing w:line="360" w:lineRule="auto"/>
        <w:ind w:firstLine="420" w:firstLineChars="200"/>
      </w:pPr>
      <w:r>
        <w:rPr>
          <w:rFonts w:hint="eastAsia"/>
        </w:rPr>
        <w:t>主办方发出的文件以中文为准。参赛单位提交的竞赛成果文件应为中、英文两种语言，如中文和英文不一致时以中文为准（中文指简体中文）。</w:t>
      </w:r>
    </w:p>
    <w:p>
      <w:pPr>
        <w:spacing w:line="360" w:lineRule="auto"/>
        <w:ind w:firstLine="420" w:firstLineChars="200"/>
      </w:pPr>
      <w:r>
        <w:rPr>
          <w:rFonts w:hint="eastAsia"/>
        </w:rPr>
        <w:t>14.2 时间</w:t>
      </w:r>
    </w:p>
    <w:p>
      <w:pPr>
        <w:spacing w:line="360" w:lineRule="auto"/>
        <w:ind w:firstLine="420" w:firstLineChars="200"/>
      </w:pPr>
      <w:r>
        <w:rPr>
          <w:rFonts w:hint="eastAsia"/>
        </w:rPr>
        <w:t>本次竞赛时间均以北京时间为准。</w:t>
      </w:r>
    </w:p>
    <w:p>
      <w:pPr>
        <w:spacing w:line="360" w:lineRule="auto"/>
        <w:ind w:firstLine="420" w:firstLineChars="200"/>
      </w:pPr>
      <w:r>
        <w:rPr>
          <w:rFonts w:hint="eastAsia"/>
        </w:rPr>
        <w:t>14.3 计量单位</w:t>
      </w:r>
    </w:p>
    <w:p>
      <w:pPr>
        <w:spacing w:line="360" w:lineRule="auto"/>
        <w:ind w:firstLine="420" w:firstLineChars="200"/>
      </w:pPr>
      <w:r>
        <w:rPr>
          <w:rFonts w:hint="eastAsia"/>
        </w:rPr>
        <w:t>除国家相关标准及竞赛文件中的技术要求另有规定外，竞赛成果文件使用的度量单位，均采用中华人民共和国法定计量单位。</w:t>
      </w:r>
    </w:p>
    <w:p>
      <w:pPr>
        <w:spacing w:line="360" w:lineRule="auto"/>
        <w:ind w:firstLine="420" w:firstLineChars="200"/>
      </w:pPr>
    </w:p>
    <w:p>
      <w:pPr>
        <w:pStyle w:val="3"/>
      </w:pPr>
      <w:bookmarkStart w:id="36" w:name="_Toc17534"/>
      <w:bookmarkStart w:id="37" w:name="_Toc17669"/>
      <w:r>
        <w:rPr>
          <w:rFonts w:hint="eastAsia"/>
        </w:rPr>
        <w:t>15.其 他</w:t>
      </w:r>
      <w:bookmarkEnd w:id="36"/>
      <w:bookmarkEnd w:id="37"/>
    </w:p>
    <w:p>
      <w:pPr>
        <w:spacing w:line="360" w:lineRule="auto"/>
        <w:ind w:firstLine="420" w:firstLineChars="200"/>
      </w:pPr>
      <w:r>
        <w:rPr>
          <w:rFonts w:hint="eastAsia"/>
        </w:rPr>
        <w:t>15.1 优胜机构确定后，主办方、代理方不对未胜出机构就评审过程以及未能胜出原因做出任何解释，同时亦不退还竞赛成果文件。未获胜参赛机构不得向评审委员会成员或其他有关人员索问评审过程的情况和材料。</w:t>
      </w:r>
    </w:p>
    <w:p>
      <w:pPr>
        <w:spacing w:line="360" w:lineRule="auto"/>
        <w:ind w:firstLine="420" w:firstLineChars="200"/>
      </w:pPr>
      <w:r>
        <w:rPr>
          <w:rFonts w:hint="eastAsia"/>
        </w:rPr>
        <w:t>15.2 主办方、代理方对本次竞赛文件拥有最终解释权，文本内容的解释与适用以中文为准。</w:t>
      </w:r>
    </w:p>
    <w:p>
      <w:pPr>
        <w:spacing w:line="360" w:lineRule="auto"/>
        <w:ind w:firstLine="420" w:firstLineChars="200"/>
      </w:pPr>
      <w:r>
        <w:rPr>
          <w:rFonts w:hint="eastAsia"/>
        </w:rPr>
        <w:t>15.3 无论参赛机构是否获胜，参赛机构均不得以专利权、商标权或工业设计权等知识产权为由向主办方、代理方提出任何索赔或补偿的要求。</w:t>
      </w:r>
    </w:p>
    <w:p>
      <w:pPr>
        <w:spacing w:line="360" w:lineRule="auto"/>
        <w:ind w:firstLine="420" w:firstLineChars="200"/>
      </w:pPr>
      <w:r>
        <w:rPr>
          <w:rFonts w:hint="eastAsia"/>
        </w:rPr>
        <w:t>15.4 主办方、代理方保留更改活动日程安排的权利。如有改动，将至少提前 3 天通知。</w:t>
      </w:r>
    </w:p>
    <w:p>
      <w:pPr>
        <w:spacing w:line="360" w:lineRule="auto"/>
        <w:ind w:firstLine="420" w:firstLineChars="200"/>
      </w:pPr>
      <w:r>
        <w:rPr>
          <w:rFonts w:hint="eastAsia"/>
        </w:rPr>
        <w:t>15.5 竞赛文件、竞赛文件澄清（答疑）纪要、竞赛文件修改（补充）函件内容均以书面明确的内容为准。当竞赛文件、澄清（答疑）) 纪要、修改（补充）函件内容相互矛盾时，以最后发出的为准。</w:t>
      </w:r>
    </w:p>
    <w:p>
      <w:pPr>
        <w:spacing w:line="360" w:lineRule="auto"/>
        <w:ind w:firstLine="420" w:firstLineChars="200"/>
      </w:pPr>
      <w:r>
        <w:rPr>
          <w:rFonts w:hint="eastAsia"/>
        </w:rPr>
        <w:t>15.6 参赛机构确保其项目负责人和主要设计人员始终参与本设计工作；境外设计机构应确保有境外机构的人员参与、签名和加盖境外机构印章。</w:t>
      </w:r>
    </w:p>
    <w:p>
      <w:pPr>
        <w:spacing w:line="360" w:lineRule="auto"/>
        <w:ind w:firstLine="420" w:firstLineChars="200"/>
      </w:pPr>
      <w:r>
        <w:rPr>
          <w:rFonts w:hint="eastAsia"/>
        </w:rPr>
        <w:t>15.7 设计机构参加现场踏勘活动、答疑和各阶段评审会时需自带翻译。</w:t>
      </w:r>
    </w:p>
    <w:p>
      <w:pPr>
        <w:spacing w:line="360" w:lineRule="auto"/>
        <w:ind w:firstLine="420" w:firstLineChars="200"/>
      </w:pPr>
      <w:r>
        <w:rPr>
          <w:rFonts w:hint="eastAsia"/>
        </w:rPr>
        <w:t>15.8 优胜机构须根据项目进度合理安排配合人次，满足项目各阶段会议及现场服务的需求，并确保主创团队人员参与重要会议。</w:t>
      </w:r>
    </w:p>
    <w:p>
      <w:pPr>
        <w:spacing w:line="360" w:lineRule="auto"/>
        <w:ind w:firstLine="420" w:firstLineChars="200"/>
      </w:pPr>
      <w:r>
        <w:rPr>
          <w:rFonts w:hint="eastAsia"/>
        </w:rPr>
        <w:t>15.9 参加本次竞赛活动的设计机构均视为承认本竞赛文件所有内容。</w:t>
      </w:r>
    </w:p>
    <w:p>
      <w:pPr>
        <w:spacing w:line="360" w:lineRule="auto"/>
        <w:ind w:firstLine="420" w:firstLineChars="200"/>
      </w:pPr>
      <w:r>
        <w:rPr>
          <w:rFonts w:hint="eastAsia"/>
        </w:rPr>
        <w:t>15.10为配合做好新型冠状病毒肺炎防控管控, 参加本次竞赛活动的设计机构及其企业有关人员参与会议的，作出以下郑重承诺（设计机构参加本次竞赛活动，视为自愿响应承诺）：①近期无出现发热、咳嗽等呼吸道症状；②近14天内无疫情重点地区旅居史；③近14天内无与疫情重点地区人员接触史；④按要求进入会议场内自觉佩戴口罩；⑤</w:t>
      </w:r>
      <w:r>
        <w:t>境外来莞人员履防疫义务</w:t>
      </w:r>
      <w:r>
        <w:rPr>
          <w:rFonts w:hint="eastAsia"/>
        </w:rPr>
        <w:t>、</w:t>
      </w:r>
      <w:r>
        <w:t>及时如实报告有关信息和健康状况，做好个人防控</w:t>
      </w:r>
      <w:r>
        <w:rPr>
          <w:rFonts w:hint="eastAsia"/>
        </w:rPr>
        <w:t>；⑥疫情防控指挥部门、主办方、代理方如对疫情防控有最新要求的，根据最新要求进行配合，如拒不配合的、主办方可取消我方参加本次竞赛活动的资格，主办方无需向我方承担任何法律责任、赔偿。</w:t>
      </w:r>
    </w:p>
    <w:p>
      <w:pPr>
        <w:spacing w:line="360" w:lineRule="auto"/>
        <w:ind w:firstLine="420" w:firstLineChars="200"/>
        <w:rPr>
          <w:color w:val="FF0000"/>
        </w:rPr>
      </w:pPr>
      <w:r>
        <w:rPr>
          <w:rFonts w:hint="eastAsia"/>
          <w:color w:val="FF0000"/>
        </w:rPr>
        <w:t>1</w:t>
      </w:r>
      <w:r>
        <w:rPr>
          <w:color w:val="FF0000"/>
        </w:rPr>
        <w:t>5</w:t>
      </w:r>
      <w:r>
        <w:rPr>
          <w:rFonts w:hint="eastAsia"/>
          <w:color w:val="FF0000"/>
        </w:rPr>
        <w:t>.</w:t>
      </w:r>
      <w:r>
        <w:rPr>
          <w:color w:val="FF0000"/>
        </w:rPr>
        <w:t>10</w:t>
      </w:r>
      <w:r>
        <w:rPr>
          <w:rFonts w:hint="eastAsia"/>
          <w:color w:val="FF0000"/>
        </w:rPr>
        <w:t>竞赛优胜机构（竞赛前三名）向合资公司（东莞市旗山投资发展有限公司和广东唯投控股有限公司共同成立的项目公司）提供相应发票作为支付凭证。</w:t>
      </w:r>
    </w:p>
    <w:p>
      <w:pPr>
        <w:spacing w:line="360" w:lineRule="auto"/>
        <w:ind w:firstLine="420" w:firstLineChars="200"/>
      </w:pPr>
    </w:p>
    <w:p>
      <w:pPr>
        <w:pStyle w:val="3"/>
      </w:pPr>
      <w:bookmarkStart w:id="38" w:name="_Toc9659"/>
      <w:r>
        <w:rPr>
          <w:rFonts w:hint="eastAsia"/>
        </w:rPr>
        <w:t>16.组织机构</w:t>
      </w:r>
      <w:bookmarkEnd w:id="38"/>
    </w:p>
    <w:p>
      <w:pPr>
        <w:spacing w:line="360" w:lineRule="auto"/>
        <w:ind w:firstLine="420" w:firstLineChars="200"/>
      </w:pPr>
      <w:r>
        <w:rPr>
          <w:rFonts w:hint="eastAsia"/>
        </w:rPr>
        <w:t>主办方：</w:t>
      </w:r>
      <w:r>
        <w:rPr>
          <w:rFonts w:hint="eastAsia" w:ascii="宋体" w:hAnsi="宋体" w:cs="宋体"/>
          <w:kern w:val="0"/>
          <w:szCs w:val="21"/>
        </w:rPr>
        <w:t>东莞市旗山投资发展有限公司</w:t>
      </w:r>
    </w:p>
    <w:p>
      <w:pPr>
        <w:spacing w:line="360" w:lineRule="auto"/>
        <w:ind w:firstLine="420" w:firstLineChars="200"/>
      </w:pPr>
      <w:r>
        <w:rPr>
          <w:rFonts w:hint="eastAsia"/>
        </w:rPr>
        <w:t>代理方：广东泰通伟业工程咨询有限公司</w:t>
      </w:r>
    </w:p>
    <w:p>
      <w:pPr>
        <w:spacing w:line="360" w:lineRule="auto"/>
        <w:ind w:firstLine="420" w:firstLineChars="200"/>
      </w:pPr>
    </w:p>
    <w:p>
      <w:pPr>
        <w:pStyle w:val="3"/>
        <w:numPr>
          <w:ilvl w:val="0"/>
          <w:numId w:val="1"/>
        </w:numPr>
      </w:pPr>
      <w:bookmarkStart w:id="39" w:name="_Toc1091"/>
      <w:r>
        <w:rPr>
          <w:rFonts w:hint="eastAsia"/>
        </w:rPr>
        <w:t>联系方式</w:t>
      </w:r>
      <w:bookmarkEnd w:id="39"/>
    </w:p>
    <w:p>
      <w:pPr>
        <w:spacing w:line="420" w:lineRule="exact"/>
        <w:ind w:firstLine="420" w:firstLineChars="200"/>
        <w:rPr>
          <w:rFonts w:ascii="宋体" w:hAnsi="宋体" w:cs="宋体"/>
          <w:szCs w:val="21"/>
        </w:rPr>
      </w:pPr>
      <w:r>
        <w:rPr>
          <w:rFonts w:hint="eastAsia" w:ascii="宋体" w:hAnsi="宋体" w:cs="宋体"/>
          <w:szCs w:val="21"/>
        </w:rPr>
        <w:t>主办方：</w:t>
      </w:r>
      <w:r>
        <w:rPr>
          <w:rFonts w:hint="eastAsia" w:ascii="宋体" w:hAnsi="宋体" w:cs="宋体"/>
          <w:kern w:val="0"/>
          <w:szCs w:val="21"/>
          <w:u w:val="single"/>
        </w:rPr>
        <w:t xml:space="preserve">东莞市旗山投资发展有限公司    </w:t>
      </w:r>
      <w:r>
        <w:rPr>
          <w:rFonts w:hint="eastAsia" w:ascii="宋体" w:hAnsi="宋体" w:cs="宋体"/>
          <w:szCs w:val="21"/>
        </w:rPr>
        <w:t xml:space="preserve"> </w:t>
      </w:r>
    </w:p>
    <w:p>
      <w:pPr>
        <w:spacing w:line="420" w:lineRule="exact"/>
        <w:ind w:firstLine="420" w:firstLineChars="200"/>
        <w:rPr>
          <w:rFonts w:ascii="宋体" w:hAnsi="宋体" w:cs="宋体"/>
          <w:szCs w:val="21"/>
        </w:rPr>
      </w:pPr>
      <w:r>
        <w:rPr>
          <w:rFonts w:hint="eastAsia" w:ascii="宋体" w:hAnsi="宋体" w:cs="宋体"/>
          <w:szCs w:val="21"/>
        </w:rPr>
        <w:t>地  址：</w:t>
      </w:r>
      <w:r>
        <w:rPr>
          <w:rFonts w:hint="eastAsia" w:ascii="宋体" w:hAnsi="宋体"/>
          <w:u w:val="single"/>
        </w:rPr>
        <w:t>东莞市东城区八一路机关二号大院</w:t>
      </w:r>
    </w:p>
    <w:p>
      <w:pPr>
        <w:spacing w:line="420" w:lineRule="exact"/>
        <w:ind w:firstLine="420" w:firstLineChars="200"/>
        <w:rPr>
          <w:rFonts w:ascii="宋体" w:hAnsi="宋体" w:cs="宋体"/>
          <w:szCs w:val="21"/>
        </w:rPr>
      </w:pPr>
      <w:r>
        <w:rPr>
          <w:rFonts w:hint="eastAsia" w:ascii="宋体" w:hAnsi="宋体" w:cs="宋体"/>
          <w:szCs w:val="21"/>
        </w:rPr>
        <w:t>邮  编：</w:t>
      </w:r>
      <w:r>
        <w:rPr>
          <w:rFonts w:hint="eastAsia" w:ascii="宋体" w:hAnsi="宋体" w:cs="宋体"/>
          <w:szCs w:val="21"/>
          <w:u w:val="single"/>
        </w:rPr>
        <w:t xml:space="preserve">523000                        </w:t>
      </w:r>
      <w:r>
        <w:rPr>
          <w:rFonts w:hint="eastAsia" w:ascii="宋体" w:hAnsi="宋体" w:cs="宋体"/>
          <w:szCs w:val="21"/>
        </w:rPr>
        <w:t xml:space="preserve"> </w:t>
      </w:r>
    </w:p>
    <w:p>
      <w:pPr>
        <w:spacing w:line="420" w:lineRule="exact"/>
        <w:ind w:firstLine="420" w:firstLineChars="200"/>
        <w:rPr>
          <w:rFonts w:ascii="宋体" w:hAnsi="宋体" w:cs="宋体"/>
          <w:szCs w:val="21"/>
        </w:rPr>
      </w:pPr>
      <w:r>
        <w:rPr>
          <w:rFonts w:hint="eastAsia" w:ascii="宋体" w:hAnsi="宋体" w:cs="宋体"/>
          <w:szCs w:val="21"/>
        </w:rPr>
        <w:t>联系人：</w:t>
      </w:r>
      <w:r>
        <w:rPr>
          <w:rFonts w:hint="eastAsia" w:ascii="宋体" w:hAnsi="宋体" w:cs="宋体"/>
          <w:szCs w:val="21"/>
          <w:u w:val="single"/>
        </w:rPr>
        <w:t xml:space="preserve">田先生、林先生                </w:t>
      </w:r>
    </w:p>
    <w:p>
      <w:pPr>
        <w:spacing w:line="420" w:lineRule="exact"/>
        <w:ind w:firstLine="420" w:firstLineChars="200"/>
        <w:rPr>
          <w:rFonts w:ascii="宋体" w:hAnsi="宋体" w:cs="宋体"/>
          <w:szCs w:val="21"/>
        </w:rPr>
      </w:pPr>
      <w:r>
        <w:rPr>
          <w:rFonts w:hint="eastAsia" w:ascii="宋体" w:hAnsi="宋体" w:cs="宋体"/>
          <w:szCs w:val="21"/>
        </w:rPr>
        <w:t>电  话：</w:t>
      </w:r>
      <w:r>
        <w:rPr>
          <w:rFonts w:hint="eastAsia" w:ascii="宋体" w:hAnsi="宋体" w:cs="宋体"/>
          <w:szCs w:val="21"/>
          <w:u w:val="single"/>
        </w:rPr>
        <w:t>0769-</w:t>
      </w:r>
      <w:r>
        <w:rPr>
          <w:rFonts w:hint="eastAsia" w:ascii="宋体" w:hAnsi="宋体"/>
          <w:u w:val="single"/>
        </w:rPr>
        <w:t>28681293</w:t>
      </w:r>
      <w:r>
        <w:rPr>
          <w:rFonts w:hint="eastAsia" w:ascii="宋体" w:hAnsi="宋体" w:cs="宋体"/>
          <w:szCs w:val="21"/>
          <w:u w:val="single"/>
        </w:rPr>
        <w:t xml:space="preserve">                 </w:t>
      </w:r>
      <w:r>
        <w:rPr>
          <w:rFonts w:hint="eastAsia" w:ascii="宋体" w:hAnsi="宋体" w:cs="宋体"/>
          <w:szCs w:val="21"/>
        </w:rPr>
        <w:t xml:space="preserve"> </w:t>
      </w:r>
    </w:p>
    <w:p>
      <w:pPr>
        <w:spacing w:line="420" w:lineRule="exact"/>
        <w:ind w:firstLine="420" w:firstLineChars="200"/>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0769-28822381                 </w:t>
      </w:r>
      <w:r>
        <w:rPr>
          <w:rFonts w:hint="eastAsia" w:ascii="宋体" w:hAnsi="宋体" w:cs="宋体"/>
          <w:szCs w:val="21"/>
        </w:rPr>
        <w:t xml:space="preserve"> </w:t>
      </w:r>
    </w:p>
    <w:p/>
    <w:p>
      <w:pPr>
        <w:spacing w:line="360" w:lineRule="auto"/>
        <w:ind w:firstLine="420" w:firstLineChars="200"/>
        <w:rPr>
          <w:rFonts w:ascii="宋体" w:hAnsi="宋体" w:cs="宋体"/>
          <w:szCs w:val="21"/>
          <w:u w:val="single"/>
        </w:rPr>
      </w:pPr>
      <w:r>
        <w:rPr>
          <w:rFonts w:hint="eastAsia" w:ascii="宋体" w:hAnsi="宋体" w:cs="宋体"/>
          <w:szCs w:val="21"/>
        </w:rPr>
        <w:t>代理方：</w:t>
      </w:r>
      <w:r>
        <w:rPr>
          <w:rFonts w:hint="eastAsia" w:ascii="宋体" w:hAnsi="宋体" w:cs="宋体"/>
          <w:szCs w:val="21"/>
          <w:u w:val="single"/>
        </w:rPr>
        <w:t xml:space="preserve">广东泰通伟业工程咨询有限公司 </w:t>
      </w:r>
      <w:bookmarkStart w:id="40" w:name="_Toc19632"/>
    </w:p>
    <w:p>
      <w:pPr>
        <w:spacing w:line="360" w:lineRule="auto"/>
        <w:ind w:firstLine="420" w:firstLineChars="200"/>
        <w:rPr>
          <w:rFonts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东莞市莞龙路下桥银门街1号7楼  </w:t>
      </w:r>
    </w:p>
    <w:p>
      <w:pPr>
        <w:spacing w:line="360" w:lineRule="auto"/>
        <w:ind w:firstLine="420" w:firstLineChars="200"/>
        <w:rPr>
          <w:rFonts w:ascii="宋体" w:hAnsi="宋体" w:cs="宋体"/>
          <w:szCs w:val="21"/>
          <w:u w:val="single"/>
        </w:rPr>
      </w:pPr>
      <w:r>
        <w:rPr>
          <w:rFonts w:hint="eastAsia" w:ascii="宋体" w:hAnsi="宋体" w:cs="宋体"/>
          <w:szCs w:val="21"/>
        </w:rPr>
        <w:t>邮编：</w:t>
      </w:r>
      <w:r>
        <w:rPr>
          <w:rFonts w:hint="eastAsia" w:ascii="宋体" w:hAnsi="宋体" w:cs="宋体"/>
          <w:szCs w:val="21"/>
          <w:u w:val="single"/>
        </w:rPr>
        <w:t xml:space="preserve"> 523000                         </w:t>
      </w:r>
    </w:p>
    <w:p>
      <w:pPr>
        <w:spacing w:line="360" w:lineRule="auto"/>
        <w:ind w:firstLine="420" w:firstLineChars="200"/>
        <w:rPr>
          <w:rFonts w:ascii="宋体" w:hAnsi="宋体" w:cs="宋体"/>
          <w:szCs w:val="21"/>
          <w:u w:val="single"/>
        </w:rPr>
      </w:pPr>
      <w:r>
        <w:rPr>
          <w:rFonts w:hint="eastAsia" w:ascii="宋体" w:hAnsi="宋体" w:cs="宋体"/>
          <w:szCs w:val="21"/>
        </w:rPr>
        <w:t>联系人：</w:t>
      </w:r>
      <w:r>
        <w:rPr>
          <w:rFonts w:hint="eastAsia" w:ascii="宋体" w:hAnsi="宋体" w:cs="宋体"/>
          <w:szCs w:val="21"/>
          <w:u w:val="single"/>
        </w:rPr>
        <w:t xml:space="preserve">马先生                        </w:t>
      </w:r>
    </w:p>
    <w:p>
      <w:pPr>
        <w:spacing w:line="360" w:lineRule="auto"/>
        <w:ind w:firstLine="420" w:firstLineChars="200"/>
        <w:rPr>
          <w:rFonts w:ascii="宋体" w:hAnsi="宋体" w:cs="宋体"/>
          <w:szCs w:val="21"/>
          <w:u w:val="single"/>
        </w:rPr>
      </w:pPr>
      <w:r>
        <w:rPr>
          <w:rFonts w:hint="eastAsia" w:ascii="宋体" w:hAnsi="宋体" w:cs="宋体"/>
          <w:szCs w:val="21"/>
        </w:rPr>
        <w:t>电话：</w:t>
      </w:r>
      <w:r>
        <w:rPr>
          <w:rFonts w:hint="eastAsia" w:ascii="宋体" w:hAnsi="宋体" w:cs="宋体"/>
          <w:szCs w:val="21"/>
          <w:u w:val="single"/>
        </w:rPr>
        <w:t xml:space="preserve"> 0769-22652033（13929225368）   </w:t>
      </w:r>
    </w:p>
    <w:p>
      <w:pPr>
        <w:spacing w:line="360" w:lineRule="auto"/>
        <w:ind w:firstLine="420" w:firstLineChars="200"/>
        <w:rPr>
          <w:rFonts w:ascii="宋体" w:hAnsi="宋体" w:cs="宋体"/>
          <w:szCs w:val="21"/>
          <w:u w:val="single"/>
        </w:rPr>
      </w:pPr>
      <w:r>
        <w:rPr>
          <w:rFonts w:hint="eastAsia" w:ascii="宋体" w:hAnsi="宋体" w:cs="宋体"/>
          <w:szCs w:val="21"/>
        </w:rPr>
        <w:t>传真：</w:t>
      </w:r>
      <w:r>
        <w:rPr>
          <w:rFonts w:hint="eastAsia" w:ascii="宋体" w:hAnsi="宋体" w:cs="宋体"/>
          <w:szCs w:val="21"/>
          <w:u w:val="single"/>
        </w:rPr>
        <w:t xml:space="preserve"> 0769-22655918                  </w:t>
      </w:r>
    </w:p>
    <w:p>
      <w:pPr>
        <w:spacing w:line="360" w:lineRule="auto"/>
        <w:ind w:firstLine="420" w:firstLineChars="200"/>
      </w:pPr>
      <w:r>
        <w:rPr>
          <w:rFonts w:hint="eastAsia" w:ascii="宋体" w:hAnsi="宋体" w:cs="宋体"/>
          <w:szCs w:val="21"/>
        </w:rPr>
        <w:t>邮箱：</w:t>
      </w:r>
      <w:r>
        <w:fldChar w:fldCharType="begin"/>
      </w:r>
      <w:r>
        <w:instrText xml:space="preserve"> HYPERLINK "mailto:534109560@qq.com" </w:instrText>
      </w:r>
      <w:r>
        <w:fldChar w:fldCharType="separate"/>
      </w:r>
      <w:r>
        <w:rPr>
          <w:rStyle w:val="13"/>
          <w:rFonts w:hint="eastAsia" w:ascii="宋体" w:hAnsi="宋体" w:cs="宋体"/>
          <w:color w:val="auto"/>
          <w:szCs w:val="21"/>
        </w:rPr>
        <w:t>534109560@qq.com</w:t>
      </w:r>
      <w:r>
        <w:rPr>
          <w:rStyle w:val="13"/>
          <w:rFonts w:hint="eastAsia" w:ascii="宋体" w:hAnsi="宋体" w:cs="宋体"/>
          <w:color w:val="auto"/>
          <w:szCs w:val="21"/>
        </w:rPr>
        <w:fldChar w:fldCharType="end"/>
      </w:r>
      <w:r>
        <w:rPr>
          <w:rFonts w:hint="eastAsia" w:ascii="宋体" w:hAnsi="宋体" w:cs="宋体"/>
          <w:szCs w:val="21"/>
          <w:u w:val="single"/>
        </w:rPr>
        <w:t xml:space="preserve">                </w:t>
      </w:r>
      <w:r>
        <w:rPr>
          <w:rFonts w:hint="eastAsia"/>
        </w:rPr>
        <w:br w:type="page"/>
      </w:r>
    </w:p>
    <w:p>
      <w:pPr>
        <w:pStyle w:val="2"/>
      </w:pPr>
      <w:bookmarkStart w:id="41" w:name="_Toc15777"/>
      <w:r>
        <w:rPr>
          <w:rFonts w:hint="eastAsia"/>
        </w:rPr>
        <w:t>第二部分 竞赛设计任务书（另见附件）</w:t>
      </w:r>
      <w:bookmarkEnd w:id="40"/>
      <w:bookmarkEnd w:id="41"/>
      <w:r>
        <w:rPr>
          <w:rFonts w:hint="eastAsia"/>
        </w:rPr>
        <w:t xml:space="preserve"> </w:t>
      </w:r>
    </w:p>
    <w:p>
      <w:pPr>
        <w:rPr>
          <w:rStyle w:val="16"/>
        </w:rPr>
      </w:pPr>
      <w:bookmarkStart w:id="42" w:name="_Toc4264"/>
      <w:r>
        <w:rPr>
          <w:rStyle w:val="16"/>
          <w:rFonts w:hint="eastAsia"/>
        </w:rPr>
        <w:br w:type="page"/>
      </w:r>
    </w:p>
    <w:p>
      <w:pPr>
        <w:rPr>
          <w:rFonts w:eastAsia="黑体"/>
        </w:rPr>
      </w:pPr>
      <w:bookmarkStart w:id="43" w:name="_Toc19928"/>
      <w:r>
        <w:rPr>
          <w:rStyle w:val="16"/>
          <w:rFonts w:hint="eastAsia"/>
        </w:rPr>
        <w:t>第三部分 资格预审申请文件格式（另见附件</w:t>
      </w:r>
      <w:bookmarkEnd w:id="42"/>
      <w:bookmarkEnd w:id="43"/>
      <w:r>
        <w:rPr>
          <w:rStyle w:val="16"/>
          <w:rFonts w:hint="eastAsia"/>
        </w:rPr>
        <w:t>）</w:t>
      </w:r>
    </w:p>
    <w:p/>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ENbXC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QQ1tcICAADYBQAADgAAAAAA&#10;AAABACAAAAAfAQAAZHJzL2Uyb0RvYy54bWxQSwUGAAAAAAYABgBZAQAAUwYAAAAA&#10;">
          <v:path/>
          <v:fill on="f" focussize="0,0"/>
          <v:stroke on="f" weight="0.5pt" joinstyle="miter"/>
          <v:imagedata o:title=""/>
          <o:lock v:ext="edit"/>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DD2320"/>
    <w:multiLevelType w:val="singleLevel"/>
    <w:tmpl w:val="FFDD2320"/>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AEC0E04"/>
    <w:rsid w:val="00000C06"/>
    <w:rsid w:val="000863F6"/>
    <w:rsid w:val="000960E0"/>
    <w:rsid w:val="00097227"/>
    <w:rsid w:val="000A389B"/>
    <w:rsid w:val="000D16FF"/>
    <w:rsid w:val="000D5EFD"/>
    <w:rsid w:val="001218B4"/>
    <w:rsid w:val="00133C8A"/>
    <w:rsid w:val="00157A92"/>
    <w:rsid w:val="001A4326"/>
    <w:rsid w:val="002853C7"/>
    <w:rsid w:val="00290187"/>
    <w:rsid w:val="002A4D73"/>
    <w:rsid w:val="003334D6"/>
    <w:rsid w:val="003B6280"/>
    <w:rsid w:val="003E554B"/>
    <w:rsid w:val="004B27DE"/>
    <w:rsid w:val="004C0170"/>
    <w:rsid w:val="00543714"/>
    <w:rsid w:val="005B05B4"/>
    <w:rsid w:val="00612BDA"/>
    <w:rsid w:val="00635A8E"/>
    <w:rsid w:val="00712F0D"/>
    <w:rsid w:val="00743EBA"/>
    <w:rsid w:val="007E7DFE"/>
    <w:rsid w:val="00810BDA"/>
    <w:rsid w:val="00826B2C"/>
    <w:rsid w:val="008D0502"/>
    <w:rsid w:val="009D2725"/>
    <w:rsid w:val="009E76E3"/>
    <w:rsid w:val="009F0208"/>
    <w:rsid w:val="009F1E30"/>
    <w:rsid w:val="00A739F9"/>
    <w:rsid w:val="00A83A40"/>
    <w:rsid w:val="00AC23EB"/>
    <w:rsid w:val="00B012FB"/>
    <w:rsid w:val="00B0210F"/>
    <w:rsid w:val="00B071F3"/>
    <w:rsid w:val="00B54FA4"/>
    <w:rsid w:val="00C61E4A"/>
    <w:rsid w:val="00C672B3"/>
    <w:rsid w:val="00CC6732"/>
    <w:rsid w:val="00D13BFA"/>
    <w:rsid w:val="00D97C00"/>
    <w:rsid w:val="00DD5A0D"/>
    <w:rsid w:val="00DE4FAE"/>
    <w:rsid w:val="00E32349"/>
    <w:rsid w:val="00E94813"/>
    <w:rsid w:val="00FA1290"/>
    <w:rsid w:val="039D7057"/>
    <w:rsid w:val="328F2871"/>
    <w:rsid w:val="3D0A11A8"/>
    <w:rsid w:val="44E01C07"/>
    <w:rsid w:val="4DC60EF0"/>
    <w:rsid w:val="525457FE"/>
    <w:rsid w:val="5AEC0E04"/>
    <w:rsid w:val="6B39508C"/>
    <w:rsid w:val="6D2B43B0"/>
    <w:rsid w:val="78BC0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6"/>
    <w:qFormat/>
    <w:uiPriority w:val="0"/>
    <w:pPr>
      <w:keepNext/>
      <w:keepLines/>
      <w:spacing w:before="260" w:after="260" w:line="416" w:lineRule="auto"/>
      <w:outlineLvl w:val="1"/>
    </w:pPr>
    <w:rPr>
      <w:rFonts w:ascii="Arial" w:hAnsi="Arial" w:eastAsia="黑体" w:cs="Times New Roman"/>
      <w:b/>
      <w:bCs/>
      <w:sz w:val="32"/>
      <w:szCs w:val="32"/>
    </w:rPr>
  </w:style>
  <w:style w:type="paragraph" w:styleId="3">
    <w:name w:val="heading 3"/>
    <w:basedOn w:val="1"/>
    <w:next w:val="1"/>
    <w:unhideWhenUsed/>
    <w:qFormat/>
    <w:uiPriority w:val="0"/>
    <w:pPr>
      <w:keepNext/>
      <w:keepLines/>
      <w:spacing w:line="413" w:lineRule="auto"/>
      <w:outlineLvl w:val="2"/>
    </w:pPr>
    <w:rPr>
      <w:b/>
      <w:sz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Hyperlink"/>
    <w:basedOn w:val="11"/>
    <w:qFormat/>
    <w:uiPriority w:val="0"/>
    <w:rPr>
      <w:color w:val="0000FF"/>
      <w:u w:val="single"/>
    </w:rPr>
  </w:style>
  <w:style w:type="paragraph" w:customStyle="1" w:styleId="14">
    <w:name w:val="表格样式2"/>
    <w:basedOn w:val="1"/>
    <w:qFormat/>
    <w:uiPriority w:val="0"/>
    <w:pPr>
      <w:widowControl/>
      <w:adjustRightInd w:val="0"/>
      <w:snapToGrid w:val="0"/>
      <w:spacing w:line="360" w:lineRule="auto"/>
      <w:jc w:val="left"/>
    </w:pPr>
    <w:rPr>
      <w:rFonts w:ascii="宋体" w:hAnsi="宋体" w:eastAsia="宋体" w:cs="宋体"/>
      <w:kern w:val="0"/>
    </w:rPr>
  </w:style>
  <w:style w:type="paragraph" w:customStyle="1" w:styleId="15">
    <w:name w:val="样式 标题 2 + Times New Roman 四号 非加粗 段前: 5 磅 段后: 0 磅 行距: 固定值 20..."/>
    <w:basedOn w:val="2"/>
    <w:qFormat/>
    <w:uiPriority w:val="0"/>
    <w:pPr>
      <w:spacing w:before="100" w:after="0" w:line="400" w:lineRule="exact"/>
    </w:pPr>
    <w:rPr>
      <w:rFonts w:ascii="Times New Roman" w:hAnsi="Times New Roman" w:cs="宋体"/>
      <w:b w:val="0"/>
      <w:bCs w:val="0"/>
      <w:sz w:val="28"/>
      <w:szCs w:val="20"/>
    </w:rPr>
  </w:style>
  <w:style w:type="character" w:customStyle="1" w:styleId="16">
    <w:name w:val="标题 2 Char"/>
    <w:link w:val="2"/>
    <w:qFormat/>
    <w:uiPriority w:val="0"/>
    <w:rPr>
      <w:rFonts w:ascii="Arial" w:hAnsi="Arial" w:eastAsia="黑体" w:cs="Times New Roman"/>
      <w:b/>
      <w:bCs/>
      <w:sz w:val="32"/>
      <w:szCs w:val="32"/>
    </w:rPr>
  </w:style>
  <w:style w:type="character" w:customStyle="1" w:styleId="17">
    <w:name w:val="批注框文本 Char"/>
    <w:basedOn w:val="11"/>
    <w:link w:val="5"/>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C6BF2E-C8D0-47D1-B3F1-DC5061E1F250}">
  <ds:schemaRefs/>
</ds:datastoreItem>
</file>

<file path=docProps/app.xml><?xml version="1.0" encoding="utf-8"?>
<Properties xmlns="http://schemas.openxmlformats.org/officeDocument/2006/extended-properties" xmlns:vt="http://schemas.openxmlformats.org/officeDocument/2006/docPropsVTypes">
  <Template>Normal</Template>
  <Pages>18</Pages>
  <Words>1448</Words>
  <Characters>8260</Characters>
  <Lines>68</Lines>
  <Paragraphs>19</Paragraphs>
  <TotalTime>185</TotalTime>
  <ScaleCrop>false</ScaleCrop>
  <LinksUpToDate>false</LinksUpToDate>
  <CharactersWithSpaces>9689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2020-08-19T07:15:00Z</dcterms:created>
  <dc:creator>GDTTWY</dc:creator>
  <cp:lastModifiedBy>GDTTWY</cp:lastModifiedBy>
  <cp:lastPrinted>2020-08-25T04:59:00Z</cp:lastPrinted>
  <dcterms:modified xsi:type="dcterms:W3CDTF">2020-08-26T06:48:37Z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