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int="eastAsia" w:hAnsi="宋体"/>
          <w:color w:val="auto"/>
          <w:sz w:val="44"/>
          <w:highlight w:val="none"/>
        </w:rPr>
      </w:pPr>
      <w:bookmarkStart w:id="0" w:name="_Toc13507"/>
    </w:p>
    <w:p>
      <w:pPr>
        <w:widowControl/>
        <w:spacing w:line="360" w:lineRule="auto"/>
        <w:ind w:right="-26"/>
        <w:jc w:val="center"/>
        <w:textAlignment w:val="bottom"/>
        <w:rPr>
          <w:rFonts w:hint="eastAsia" w:hAnsi="宋体"/>
          <w:b/>
          <w:color w:val="auto"/>
          <w:sz w:val="72"/>
          <w:highlight w:val="none"/>
        </w:rPr>
      </w:pPr>
      <w:r>
        <w:rPr>
          <w:rFonts w:hint="eastAsia" w:hAnsi="宋体"/>
          <w:b/>
          <w:color w:val="auto"/>
          <w:sz w:val="72"/>
          <w:highlight w:val="none"/>
        </w:rPr>
        <w:t xml:space="preserve"> </w:t>
      </w:r>
    </w:p>
    <w:p>
      <w:pPr>
        <w:snapToGrid w:val="0"/>
        <w:jc w:val="center"/>
        <w:rPr>
          <w:rFonts w:hint="eastAsia" w:ascii="黑体" w:hAnsi="华文中宋" w:eastAsia="黑体" w:cs="华文中宋"/>
          <w:b/>
          <w:bCs/>
          <w:color w:val="auto"/>
          <w:sz w:val="48"/>
          <w:szCs w:val="48"/>
          <w:highlight w:val="none"/>
        </w:rPr>
      </w:pPr>
    </w:p>
    <w:p>
      <w:pPr>
        <w:snapToGrid w:val="0"/>
        <w:jc w:val="center"/>
        <w:rPr>
          <w:rFonts w:hint="eastAsia" w:ascii="黑体" w:hAnsi="华文中宋" w:eastAsia="黑体" w:cs="华文中宋"/>
          <w:b/>
          <w:bCs/>
          <w:color w:val="auto"/>
          <w:sz w:val="48"/>
          <w:szCs w:val="48"/>
          <w:highlight w:val="none"/>
        </w:rPr>
      </w:pPr>
    </w:p>
    <w:p>
      <w:pPr>
        <w:snapToGrid w:val="0"/>
        <w:jc w:val="center"/>
        <w:rPr>
          <w:rFonts w:hint="eastAsia" w:ascii="黑体" w:hAnsi="华文中宋" w:eastAsia="黑体" w:cs="华文中宋"/>
          <w:b/>
          <w:bCs/>
          <w:color w:val="auto"/>
          <w:sz w:val="72"/>
          <w:szCs w:val="72"/>
          <w:highlight w:val="none"/>
        </w:rPr>
      </w:pPr>
      <w:r>
        <w:rPr>
          <w:rFonts w:hint="eastAsia" w:ascii="黑体" w:hAnsi="华文中宋" w:eastAsia="黑体" w:cs="华文中宋"/>
          <w:b/>
          <w:bCs/>
          <w:color w:val="auto"/>
          <w:sz w:val="72"/>
          <w:szCs w:val="72"/>
          <w:highlight w:val="none"/>
        </w:rPr>
        <w:t>公开招标文件</w:t>
      </w: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jc w:val="center"/>
        <w:textAlignment w:val="bottom"/>
        <w:rPr>
          <w:rFonts w:hint="eastAsia" w:hAnsi="宋体"/>
          <w:b/>
          <w:color w:val="auto"/>
          <w:sz w:val="44"/>
          <w:highlight w:val="none"/>
        </w:rPr>
      </w:pPr>
      <w:r>
        <w:rPr>
          <w:color w:val="auto"/>
          <w:sz w:val="44"/>
          <w:highlight w:val="none"/>
        </w:rPr>
        <mc:AlternateContent>
          <mc:Choice Requires="wps">
            <w:drawing>
              <wp:anchor distT="0" distB="0" distL="114300" distR="114300" simplePos="0" relativeHeight="251666432" behindDoc="1" locked="0" layoutInCell="1" allowOverlap="1">
                <wp:simplePos x="0" y="0"/>
                <wp:positionH relativeFrom="column">
                  <wp:posOffset>480695</wp:posOffset>
                </wp:positionH>
                <wp:positionV relativeFrom="paragraph">
                  <wp:posOffset>76835</wp:posOffset>
                </wp:positionV>
                <wp:extent cx="4449445" cy="1581150"/>
                <wp:effectExtent l="0" t="0" r="0" b="0"/>
                <wp:wrapNone/>
                <wp:docPr id="8" name="文本框 6"/>
                <wp:cNvGraphicFramePr/>
                <a:graphic xmlns:a="http://schemas.openxmlformats.org/drawingml/2006/main">
                  <a:graphicData uri="http://schemas.microsoft.com/office/word/2010/wordprocessingShape">
                    <wps:wsp>
                      <wps:cNvSpPr txBox="1"/>
                      <wps:spPr>
                        <a:xfrm>
                          <a:off x="0" y="0"/>
                          <a:ext cx="4449445" cy="1581150"/>
                        </a:xfrm>
                        <a:prstGeom prst="rect">
                          <a:avLst/>
                        </a:prstGeom>
                        <a:noFill/>
                        <a:ln w="15875">
                          <a:noFill/>
                        </a:ln>
                      </wps:spPr>
                      <wps:txbx>
                        <w:txbxContent>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0"/>
                                <w:szCs w:val="30"/>
                                <w:lang w:eastAsia="zh-CN"/>
                              </w:rPr>
                              <w:t>东莞市湾区国际制造中心总部预算审核</w:t>
                            </w:r>
                          </w:p>
                          <w:p>
                            <w:pPr>
                              <w:widowControl/>
                              <w:spacing w:line="360" w:lineRule="auto"/>
                              <w:ind w:right="-26"/>
                              <w:textAlignment w:val="bottom"/>
                              <w:rPr>
                                <w:rFonts w:hint="eastAsia" w:ascii="黑体" w:hAnsi="黑体" w:eastAsia="黑体" w:cs="黑体"/>
                                <w:b/>
                                <w:color w:val="auto"/>
                                <w:sz w:val="32"/>
                              </w:rPr>
                            </w:pPr>
                            <w:r>
                              <w:rPr>
                                <w:rFonts w:hint="eastAsia" w:ascii="黑体" w:hAnsi="黑体" w:eastAsia="黑体" w:cs="黑体"/>
                                <w:b/>
                                <w:color w:val="auto"/>
                                <w:sz w:val="32"/>
                              </w:rPr>
                              <w:t>项目编号：DGQS-WQ-03-017-020（2021）</w:t>
                            </w:r>
                          </w:p>
                          <w:p>
                            <w:pPr>
                              <w:widowControl/>
                              <w:spacing w:line="360" w:lineRule="auto"/>
                              <w:ind w:right="-26"/>
                              <w:textAlignment w:val="bottom"/>
                              <w:rPr>
                                <w:rFonts w:hint="eastAsia" w:ascii="黑体" w:hAnsi="黑体" w:eastAsia="黑体" w:cs="黑体"/>
                                <w:b/>
                                <w:color w:val="auto"/>
                                <w:sz w:val="32"/>
                              </w:rPr>
                            </w:pPr>
                            <w:r>
                              <w:rPr>
                                <w:rFonts w:hint="eastAsia" w:ascii="黑体" w:hAnsi="黑体" w:eastAsia="黑体" w:cs="黑体"/>
                                <w:b/>
                                <w:color w:val="auto"/>
                                <w:sz w:val="32"/>
                              </w:rPr>
                              <w:t>招 标 人：东莞市旗美投资发展有限公司</w:t>
                            </w:r>
                          </w:p>
                          <w:p>
                            <w:pPr>
                              <w:rPr>
                                <w:color w:val="auto"/>
                              </w:rPr>
                            </w:pPr>
                          </w:p>
                        </w:txbxContent>
                      </wps:txbx>
                      <wps:bodyPr upright="1"/>
                    </wps:wsp>
                  </a:graphicData>
                </a:graphic>
              </wp:anchor>
            </w:drawing>
          </mc:Choice>
          <mc:Fallback>
            <w:pict>
              <v:shape id="文本框 6" o:spid="_x0000_s1026" o:spt="202" type="#_x0000_t202" style="position:absolute;left:0pt;margin-left:37.85pt;margin-top:6.05pt;height:124.5pt;width:350.35pt;z-index:-251650048;mso-width-relative:page;mso-height-relative:page;" filled="f" stroked="f" coordsize="21600,21600" o:gfxdata="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AuBmtsAAAAJAQAADwAAAAAAAAABACAAAAAiAAAAZHJzL2Rvd25yZXYueG1sUEsBAhQA&#10;FAAAAAgAh07iQP0ItYC2AQAAWQMAAA4AAAAAAAAAAQAgAAAAKgEAAGRycy9lMm9Eb2MueG1sUEsF&#10;BgAAAAAGAAYAWQEAAFIFAAAAAA==&#10;">
                <v:fill on="f" focussize="0,0"/>
                <v:stroke on="f" weight="1.25pt"/>
                <v:imagedata o:title=""/>
                <o:lock v:ext="edit" aspectratio="f"/>
                <v:textbox>
                  <w:txbxContent>
                    <w:p>
                      <w:pPr>
                        <w:widowControl/>
                        <w:spacing w:line="360" w:lineRule="auto"/>
                        <w:ind w:right="-26"/>
                        <w:jc w:val="both"/>
                        <w:textAlignment w:val="bottom"/>
                        <w:rPr>
                          <w:rFonts w:hint="eastAsia" w:ascii="黑体" w:hAnsi="黑体" w:eastAsia="黑体" w:cs="黑体"/>
                          <w:b/>
                          <w:color w:val="auto"/>
                          <w:sz w:val="32"/>
                          <w:lang w:eastAsia="zh-CN"/>
                        </w:rPr>
                      </w:pPr>
                      <w:r>
                        <w:rPr>
                          <w:rFonts w:hint="eastAsia" w:ascii="黑体" w:hAnsi="黑体" w:eastAsia="黑体" w:cs="黑体"/>
                          <w:b/>
                          <w:color w:val="auto"/>
                          <w:sz w:val="32"/>
                        </w:rPr>
                        <w:t>项目名称：</w:t>
                      </w:r>
                      <w:r>
                        <w:rPr>
                          <w:rFonts w:hint="eastAsia" w:ascii="黑体" w:hAnsi="黑体" w:eastAsia="黑体" w:cs="黑体"/>
                          <w:b/>
                          <w:color w:val="auto"/>
                          <w:sz w:val="30"/>
                          <w:szCs w:val="30"/>
                          <w:lang w:eastAsia="zh-CN"/>
                        </w:rPr>
                        <w:t>东莞市湾区国际制造中心总部预算审核</w:t>
                      </w:r>
                    </w:p>
                    <w:p>
                      <w:pPr>
                        <w:widowControl/>
                        <w:spacing w:line="360" w:lineRule="auto"/>
                        <w:ind w:right="-26"/>
                        <w:textAlignment w:val="bottom"/>
                        <w:rPr>
                          <w:rFonts w:hint="eastAsia" w:ascii="黑体" w:hAnsi="黑体" w:eastAsia="黑体" w:cs="黑体"/>
                          <w:b/>
                          <w:color w:val="auto"/>
                          <w:sz w:val="32"/>
                        </w:rPr>
                      </w:pPr>
                      <w:r>
                        <w:rPr>
                          <w:rFonts w:hint="eastAsia" w:ascii="黑体" w:hAnsi="黑体" w:eastAsia="黑体" w:cs="黑体"/>
                          <w:b/>
                          <w:color w:val="auto"/>
                          <w:sz w:val="32"/>
                        </w:rPr>
                        <w:t>项目编号：DGQS-WQ-03-017-020（2021）</w:t>
                      </w:r>
                    </w:p>
                    <w:p>
                      <w:pPr>
                        <w:widowControl/>
                        <w:spacing w:line="360" w:lineRule="auto"/>
                        <w:ind w:right="-26"/>
                        <w:textAlignment w:val="bottom"/>
                        <w:rPr>
                          <w:rFonts w:hint="eastAsia" w:ascii="黑体" w:hAnsi="黑体" w:eastAsia="黑体" w:cs="黑体"/>
                          <w:b/>
                          <w:color w:val="auto"/>
                          <w:sz w:val="32"/>
                        </w:rPr>
                      </w:pPr>
                      <w:r>
                        <w:rPr>
                          <w:rFonts w:hint="eastAsia" w:ascii="黑体" w:hAnsi="黑体" w:eastAsia="黑体" w:cs="黑体"/>
                          <w:b/>
                          <w:color w:val="auto"/>
                          <w:sz w:val="32"/>
                        </w:rPr>
                        <w:t>招 标 人：东莞市旗美投资发展有限公司</w:t>
                      </w:r>
                    </w:p>
                    <w:p>
                      <w:pPr>
                        <w:rPr>
                          <w:color w:val="auto"/>
                        </w:rPr>
                      </w:pPr>
                    </w:p>
                  </w:txbxContent>
                </v:textbox>
              </v:shape>
            </w:pict>
          </mc:Fallback>
        </mc:AlternateContent>
      </w: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jc w:val="center"/>
        <w:textAlignment w:val="bottom"/>
        <w:rPr>
          <w:rFonts w:hint="eastAsia" w:hAnsi="宋体"/>
          <w:b/>
          <w:color w:val="auto"/>
          <w:sz w:val="44"/>
          <w:highlight w:val="none"/>
        </w:rPr>
      </w:pPr>
    </w:p>
    <w:p>
      <w:pPr>
        <w:widowControl/>
        <w:spacing w:line="360" w:lineRule="auto"/>
        <w:ind w:right="-26"/>
        <w:textAlignment w:val="bottom"/>
        <w:rPr>
          <w:rFonts w:hint="eastAsia" w:hAnsi="宋体"/>
          <w:b/>
          <w:color w:val="auto"/>
          <w:sz w:val="32"/>
          <w:highlight w:val="none"/>
        </w:rPr>
      </w:pPr>
      <w:r>
        <w:rPr>
          <w:rFonts w:hint="eastAsia" w:hAnsi="宋体"/>
          <w:bCs/>
          <w:color w:val="auto"/>
          <w:sz w:val="21"/>
          <w:szCs w:val="21"/>
          <w:highlight w:val="none"/>
        </w:rPr>
        <w:drawing>
          <wp:anchor distT="0" distB="0" distL="114300" distR="114300" simplePos="0" relativeHeight="251667456" behindDoc="1" locked="0" layoutInCell="1" allowOverlap="1">
            <wp:simplePos x="0" y="0"/>
            <wp:positionH relativeFrom="column">
              <wp:posOffset>477520</wp:posOffset>
            </wp:positionH>
            <wp:positionV relativeFrom="paragraph">
              <wp:posOffset>127635</wp:posOffset>
            </wp:positionV>
            <wp:extent cx="977900" cy="977900"/>
            <wp:effectExtent l="0" t="0" r="12700" b="12700"/>
            <wp:wrapNone/>
            <wp:docPr id="9"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公司logo"/>
                    <pic:cNvPicPr>
                      <a:picLocks noChangeAspect="1"/>
                    </pic:cNvPicPr>
                  </pic:nvPicPr>
                  <pic:blipFill>
                    <a:blip r:embed="rId17"/>
                    <a:stretch>
                      <a:fillRect/>
                    </a:stretch>
                  </pic:blipFill>
                  <pic:spPr>
                    <a:xfrm>
                      <a:off x="0" y="0"/>
                      <a:ext cx="977900" cy="977900"/>
                    </a:xfrm>
                    <a:prstGeom prst="rect">
                      <a:avLst/>
                    </a:prstGeom>
                    <a:noFill/>
                    <a:ln>
                      <a:noFill/>
                    </a:ln>
                  </pic:spPr>
                </pic:pic>
              </a:graphicData>
            </a:graphic>
          </wp:anchor>
        </w:drawing>
      </w:r>
      <w:r>
        <w:rPr>
          <w:rFonts w:hint="eastAsia" w:hAnsi="宋体"/>
          <w:b/>
          <w:color w:val="auto"/>
          <w:sz w:val="32"/>
          <w:highlight w:val="none"/>
        </w:rPr>
        <w:t xml:space="preserve"> </w:t>
      </w:r>
    </w:p>
    <w:p>
      <w:pPr>
        <w:widowControl/>
        <w:spacing w:line="360" w:lineRule="auto"/>
        <w:ind w:right="-26" w:firstLine="569" w:firstLineChars="177"/>
        <w:textAlignment w:val="bottom"/>
        <w:rPr>
          <w:rFonts w:hint="eastAsia" w:ascii="黑体" w:hAnsi="黑体" w:eastAsia="黑体" w:cs="黑体"/>
          <w:b/>
          <w:color w:val="auto"/>
          <w:sz w:val="32"/>
          <w:highlight w:val="none"/>
        </w:rPr>
      </w:pPr>
      <w:r>
        <w:rPr>
          <w:rFonts w:hint="eastAsia" w:hAnsi="宋体"/>
          <w:b/>
          <w:color w:val="auto"/>
          <w:sz w:val="32"/>
          <w:highlight w:val="none"/>
        </w:rPr>
        <w:t xml:space="preserve">            </w:t>
      </w:r>
      <w:r>
        <w:rPr>
          <w:rFonts w:hint="eastAsia" w:ascii="黑体" w:hAnsi="黑体" w:eastAsia="黑体" w:cs="黑体"/>
          <w:b/>
          <w:color w:val="auto"/>
          <w:sz w:val="32"/>
          <w:highlight w:val="none"/>
        </w:rPr>
        <w:t xml:space="preserve">广东泰通伟业工程咨询有限公司 </w:t>
      </w:r>
    </w:p>
    <w:p>
      <w:pPr>
        <w:widowControl/>
        <w:spacing w:line="360" w:lineRule="auto"/>
        <w:ind w:right="-26" w:hanging="480"/>
        <w:jc w:val="center"/>
        <w:textAlignment w:val="bottom"/>
        <w:rPr>
          <w:rFonts w:hint="eastAsia"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二〇二一年</w:t>
      </w:r>
      <w:r>
        <w:rPr>
          <w:rFonts w:hint="eastAsia" w:ascii="黑体" w:hAnsi="黑体" w:eastAsia="黑体" w:cs="黑体"/>
          <w:b/>
          <w:color w:val="auto"/>
          <w:sz w:val="32"/>
          <w:highlight w:val="none"/>
          <w:lang w:val="en-US" w:eastAsia="zh-CN"/>
        </w:rPr>
        <w:t>七</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hint="eastAsia" w:ascii="黑体" w:hAnsi="黑体" w:eastAsia="黑体" w:cs="黑体"/>
          <w:b/>
          <w:color w:val="auto"/>
          <w:sz w:val="32"/>
          <w:highlight w:val="none"/>
        </w:rPr>
      </w:pPr>
    </w:p>
    <w:p>
      <w:pPr>
        <w:widowControl/>
        <w:spacing w:line="360" w:lineRule="auto"/>
        <w:ind w:right="-26" w:hanging="480"/>
        <w:jc w:val="center"/>
        <w:textAlignment w:val="bottom"/>
        <w:rPr>
          <w:rFonts w:hint="eastAsia" w:ascii="黑体" w:hAnsi="黑体" w:eastAsia="黑体" w:cs="黑体"/>
          <w:b/>
          <w:color w:val="auto"/>
          <w:sz w:val="32"/>
          <w:highlight w:val="none"/>
        </w:rPr>
      </w:pPr>
    </w:p>
    <w:p>
      <w:pPr>
        <w:widowControl/>
        <w:spacing w:line="360" w:lineRule="auto"/>
        <w:ind w:right="-26" w:hanging="480"/>
        <w:jc w:val="center"/>
        <w:textAlignment w:val="bottom"/>
        <w:rPr>
          <w:rFonts w:hint="eastAsia" w:ascii="黑体" w:hAnsi="黑体" w:eastAsia="黑体" w:cs="黑体"/>
          <w:b/>
          <w:color w:val="auto"/>
          <w:sz w:val="32"/>
          <w:highlight w:val="none"/>
        </w:rPr>
      </w:pPr>
    </w:p>
    <w:p>
      <w:pPr>
        <w:jc w:val="center"/>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titlePg/>
          <w:docGrid w:type="lines" w:linePitch="312" w:charSpace="0"/>
        </w:sectPr>
      </w:pPr>
    </w:p>
    <w:p>
      <w:pPr>
        <w:jc w:val="center"/>
        <w:rPr>
          <w:b/>
          <w:bCs/>
          <w:color w:val="auto"/>
          <w:highlight w:val="none"/>
        </w:rPr>
      </w:pPr>
      <w:r>
        <w:rPr>
          <w:rFonts w:hAnsi="宋体"/>
          <w:b/>
          <w:bCs/>
          <w:color w:val="auto"/>
          <w:sz w:val="32"/>
          <w:szCs w:val="32"/>
          <w:highlight w:val="none"/>
          <w:lang w:val="zh-CN"/>
        </w:rPr>
        <w:t>目</w:t>
      </w:r>
      <w:r>
        <w:rPr>
          <w:rFonts w:hint="eastAsia" w:hAnsi="宋体"/>
          <w:b/>
          <w:bCs/>
          <w:color w:val="auto"/>
          <w:sz w:val="32"/>
          <w:szCs w:val="32"/>
          <w:highlight w:val="none"/>
          <w:lang w:val="zh-CN"/>
        </w:rPr>
        <w:t xml:space="preserve">   </w:t>
      </w:r>
      <w:r>
        <w:rPr>
          <w:rFonts w:hAnsi="宋体"/>
          <w:b/>
          <w:bCs/>
          <w:color w:val="auto"/>
          <w:sz w:val="32"/>
          <w:szCs w:val="32"/>
          <w:highlight w:val="none"/>
          <w:lang w:val="zh-CN"/>
        </w:rPr>
        <w:t>录</w:t>
      </w:r>
      <w:bookmarkEnd w:id="0"/>
      <w:bookmarkStart w:id="1" w:name="_Toc396137229"/>
      <w:r>
        <w:rPr>
          <w:rFonts w:hAnsi="宋体"/>
          <w:b/>
          <w:bCs/>
          <w:caps/>
          <w:color w:val="auto"/>
          <w:sz w:val="21"/>
          <w:szCs w:val="21"/>
          <w:highlight w:val="none"/>
        </w:rPr>
        <w:fldChar w:fldCharType="begin"/>
      </w:r>
      <w:r>
        <w:rPr>
          <w:rStyle w:val="57"/>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_Toc28936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第一篇 </w:t>
      </w:r>
      <w:r>
        <w:rPr>
          <w:rFonts w:hint="eastAsia" w:hAnsi="宋体"/>
          <w:color w:val="auto"/>
          <w:kern w:val="44"/>
          <w:sz w:val="21"/>
          <w:szCs w:val="21"/>
          <w:highlight w:val="none"/>
        </w:rPr>
        <w:t>投标邀请书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_Toc28936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bCs w:val="0"/>
          <w:color w:val="auto"/>
          <w:sz w:val="21"/>
          <w:szCs w:val="21"/>
          <w:highlight w:val="none"/>
        </w:rPr>
        <w:fldChar w:fldCharType="end"/>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_Toc23670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第二篇 </w:t>
      </w:r>
      <w:r>
        <w:rPr>
          <w:rFonts w:hint="eastAsia" w:hAnsi="宋体"/>
          <w:color w:val="auto"/>
          <w:kern w:val="44"/>
          <w:sz w:val="21"/>
          <w:szCs w:val="21"/>
          <w:highlight w:val="none"/>
          <w:lang w:val="zh-CN"/>
        </w:rPr>
        <w:t>投标人须知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_Toc23670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bCs w:val="0"/>
          <w:color w:val="auto"/>
          <w:sz w:val="21"/>
          <w:szCs w:val="21"/>
          <w:highlight w:val="none"/>
        </w:rPr>
        <w:fldChar w:fldCharType="end"/>
      </w:r>
    </w:p>
    <w:p>
      <w:pPr>
        <w:pStyle w:val="40"/>
        <w:tabs>
          <w:tab w:val="right" w:leader="dot" w:pos="9639"/>
        </w:tabs>
        <w:spacing w:line="360" w:lineRule="auto"/>
        <w:rPr>
          <w:color w:val="auto"/>
          <w:sz w:val="21"/>
          <w:szCs w:val="21"/>
          <w:highlight w:val="none"/>
        </w:rPr>
      </w:pPr>
      <w:r>
        <w:rPr>
          <w:bCs/>
          <w:color w:val="auto"/>
          <w:sz w:val="21"/>
          <w:szCs w:val="21"/>
          <w:highlight w:val="none"/>
        </w:rPr>
        <w:fldChar w:fldCharType="begin"/>
      </w:r>
      <w:r>
        <w:rPr>
          <w:bCs/>
          <w:color w:val="auto"/>
          <w:sz w:val="21"/>
          <w:szCs w:val="21"/>
          <w:highlight w:val="none"/>
        </w:rPr>
        <w:instrText xml:space="preserve"> HYPERLINK \l _Toc7584 </w:instrText>
      </w:r>
      <w:r>
        <w:rPr>
          <w:bCs/>
          <w:color w:val="auto"/>
          <w:sz w:val="21"/>
          <w:szCs w:val="21"/>
          <w:highlight w:val="none"/>
        </w:rPr>
        <w:fldChar w:fldCharType="separate"/>
      </w:r>
      <w:r>
        <w:rPr>
          <w:rFonts w:hint="eastAsia"/>
          <w:color w:val="auto"/>
          <w:sz w:val="21"/>
          <w:szCs w:val="21"/>
          <w:highlight w:val="none"/>
          <w:lang w:val="zh-CN"/>
        </w:rPr>
        <w:t>一、投标人须知前附表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_Toc7584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bCs/>
          <w:color w:val="auto"/>
          <w:sz w:val="21"/>
          <w:szCs w:val="21"/>
          <w:highlight w:val="none"/>
        </w:rPr>
        <w:fldChar w:fldCharType="end"/>
      </w:r>
    </w:p>
    <w:p>
      <w:pPr>
        <w:pStyle w:val="40"/>
        <w:tabs>
          <w:tab w:val="right" w:leader="dot" w:pos="9639"/>
        </w:tabs>
        <w:spacing w:line="360" w:lineRule="auto"/>
        <w:rPr>
          <w:color w:val="auto"/>
          <w:sz w:val="21"/>
          <w:szCs w:val="21"/>
          <w:highlight w:val="none"/>
        </w:rPr>
      </w:pPr>
      <w:r>
        <w:rPr>
          <w:bCs/>
          <w:color w:val="auto"/>
          <w:sz w:val="21"/>
          <w:szCs w:val="21"/>
          <w:highlight w:val="none"/>
        </w:rPr>
        <w:fldChar w:fldCharType="begin"/>
      </w:r>
      <w:r>
        <w:rPr>
          <w:bCs/>
          <w:color w:val="auto"/>
          <w:sz w:val="21"/>
          <w:szCs w:val="21"/>
          <w:highlight w:val="none"/>
        </w:rPr>
        <w:instrText xml:space="preserve"> HYPERLINK \l _Toc12149 </w:instrText>
      </w:r>
      <w:r>
        <w:rPr>
          <w:bCs/>
          <w:color w:val="auto"/>
          <w:sz w:val="21"/>
          <w:szCs w:val="21"/>
          <w:highlight w:val="none"/>
        </w:rPr>
        <w:fldChar w:fldCharType="separate"/>
      </w:r>
      <w:r>
        <w:rPr>
          <w:rFonts w:hint="eastAsia"/>
          <w:color w:val="auto"/>
          <w:sz w:val="21"/>
          <w:szCs w:val="21"/>
          <w:highlight w:val="none"/>
          <w:lang w:val="zh-CN"/>
        </w:rPr>
        <w:t>二、 投标人须知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_Toc12149 \h </w:instrText>
      </w:r>
      <w:r>
        <w:rPr>
          <w:color w:val="auto"/>
          <w:sz w:val="21"/>
          <w:szCs w:val="21"/>
          <w:highlight w:val="none"/>
        </w:rPr>
        <w:fldChar w:fldCharType="separate"/>
      </w:r>
      <w:r>
        <w:rPr>
          <w:color w:val="auto"/>
          <w:sz w:val="21"/>
          <w:szCs w:val="21"/>
          <w:highlight w:val="none"/>
        </w:rPr>
        <w:t>6</w:t>
      </w:r>
      <w:r>
        <w:rPr>
          <w:color w:val="auto"/>
          <w:sz w:val="21"/>
          <w:szCs w:val="21"/>
          <w:highlight w:val="none"/>
        </w:rPr>
        <w:fldChar w:fldCharType="end"/>
      </w:r>
      <w:r>
        <w:rPr>
          <w:bCs/>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_Toc6890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（一）总则</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_Toc6890 \h </w:instrText>
      </w:r>
      <w:r>
        <w:rPr>
          <w:i w:val="0"/>
          <w:iCs w:val="0"/>
          <w:color w:val="auto"/>
          <w:sz w:val="21"/>
          <w:szCs w:val="21"/>
          <w:highlight w:val="none"/>
        </w:rPr>
        <w:fldChar w:fldCharType="separate"/>
      </w:r>
      <w:r>
        <w:rPr>
          <w:i w:val="0"/>
          <w:iCs w:val="0"/>
          <w:color w:val="auto"/>
          <w:sz w:val="21"/>
          <w:szCs w:val="21"/>
          <w:highlight w:val="none"/>
        </w:rPr>
        <w:t>6</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_Toc21212 </w:instrText>
      </w:r>
      <w:r>
        <w:rPr>
          <w:bCs/>
          <w:i w:val="0"/>
          <w:iCs w:val="0"/>
          <w:color w:val="auto"/>
          <w:sz w:val="21"/>
          <w:szCs w:val="21"/>
          <w:highlight w:val="none"/>
        </w:rPr>
        <w:fldChar w:fldCharType="separate"/>
      </w:r>
      <w:r>
        <w:rPr>
          <w:rFonts w:hint="eastAsia" w:hAnsi="宋体"/>
          <w:i w:val="0"/>
          <w:iCs w:val="0"/>
          <w:color w:val="auto"/>
          <w:kern w:val="2"/>
          <w:sz w:val="21"/>
          <w:szCs w:val="21"/>
          <w:highlight w:val="none"/>
          <w:lang w:val="zh-CN"/>
        </w:rPr>
        <w:t>（二）招标文件</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_Toc21212 \h </w:instrText>
      </w:r>
      <w:r>
        <w:rPr>
          <w:i w:val="0"/>
          <w:iCs w:val="0"/>
          <w:color w:val="auto"/>
          <w:sz w:val="21"/>
          <w:szCs w:val="21"/>
          <w:highlight w:val="none"/>
        </w:rPr>
        <w:fldChar w:fldCharType="separate"/>
      </w:r>
      <w:r>
        <w:rPr>
          <w:i w:val="0"/>
          <w:iCs w:val="0"/>
          <w:color w:val="auto"/>
          <w:sz w:val="21"/>
          <w:szCs w:val="21"/>
          <w:highlight w:val="none"/>
        </w:rPr>
        <w:t>7</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_Toc25734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（三）投标文件的编制</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_Toc25734 \h </w:instrText>
      </w:r>
      <w:r>
        <w:rPr>
          <w:i w:val="0"/>
          <w:iCs w:val="0"/>
          <w:color w:val="auto"/>
          <w:sz w:val="21"/>
          <w:szCs w:val="21"/>
          <w:highlight w:val="none"/>
        </w:rPr>
        <w:fldChar w:fldCharType="separate"/>
      </w:r>
      <w:r>
        <w:rPr>
          <w:i w:val="0"/>
          <w:iCs w:val="0"/>
          <w:color w:val="auto"/>
          <w:sz w:val="21"/>
          <w:szCs w:val="21"/>
          <w:highlight w:val="none"/>
        </w:rPr>
        <w:t>8</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_Toc18867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（四）投标文件的密封、递交</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_Toc18867 \h </w:instrText>
      </w:r>
      <w:r>
        <w:rPr>
          <w:i w:val="0"/>
          <w:iCs w:val="0"/>
          <w:color w:val="auto"/>
          <w:sz w:val="21"/>
          <w:szCs w:val="21"/>
          <w:highlight w:val="none"/>
        </w:rPr>
        <w:fldChar w:fldCharType="separate"/>
      </w:r>
      <w:r>
        <w:rPr>
          <w:i w:val="0"/>
          <w:iCs w:val="0"/>
          <w:color w:val="auto"/>
          <w:sz w:val="21"/>
          <w:szCs w:val="21"/>
          <w:highlight w:val="none"/>
        </w:rPr>
        <w:t>12</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_Toc14237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（五）开标、评标与定标</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_Toc14237 \h </w:instrText>
      </w:r>
      <w:r>
        <w:rPr>
          <w:i w:val="0"/>
          <w:iCs w:val="0"/>
          <w:color w:val="auto"/>
          <w:sz w:val="21"/>
          <w:szCs w:val="21"/>
          <w:highlight w:val="none"/>
        </w:rPr>
        <w:fldChar w:fldCharType="separate"/>
      </w:r>
      <w:r>
        <w:rPr>
          <w:i w:val="0"/>
          <w:iCs w:val="0"/>
          <w:color w:val="auto"/>
          <w:sz w:val="21"/>
          <w:szCs w:val="21"/>
          <w:highlight w:val="none"/>
        </w:rPr>
        <w:t>13</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_Toc4540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（六）授予合同</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_Toc4540 \h </w:instrText>
      </w:r>
      <w:r>
        <w:rPr>
          <w:i w:val="0"/>
          <w:iCs w:val="0"/>
          <w:color w:val="auto"/>
          <w:sz w:val="21"/>
          <w:szCs w:val="21"/>
          <w:highlight w:val="none"/>
        </w:rPr>
        <w:fldChar w:fldCharType="separate"/>
      </w:r>
      <w:r>
        <w:rPr>
          <w:i w:val="0"/>
          <w:iCs w:val="0"/>
          <w:color w:val="auto"/>
          <w:sz w:val="21"/>
          <w:szCs w:val="21"/>
          <w:highlight w:val="none"/>
        </w:rPr>
        <w:t>16</w:t>
      </w:r>
      <w:r>
        <w:rPr>
          <w:i w:val="0"/>
          <w:iCs w:val="0"/>
          <w:color w:val="auto"/>
          <w:sz w:val="21"/>
          <w:szCs w:val="21"/>
          <w:highlight w:val="none"/>
        </w:rPr>
        <w:fldChar w:fldCharType="end"/>
      </w:r>
      <w:r>
        <w:rPr>
          <w:bCs/>
          <w:i w:val="0"/>
          <w:iCs w:val="0"/>
          <w:color w:val="auto"/>
          <w:sz w:val="21"/>
          <w:szCs w:val="21"/>
          <w:highlight w:val="none"/>
        </w:rPr>
        <w:fldChar w:fldCharType="end"/>
      </w:r>
    </w:p>
    <w:p>
      <w:pPr>
        <w:pStyle w:val="25"/>
        <w:tabs>
          <w:tab w:val="right" w:leader="dot" w:pos="9639"/>
        </w:tabs>
        <w:spacing w:line="360" w:lineRule="auto"/>
        <w:rPr>
          <w:i w:val="0"/>
          <w:iCs w:val="0"/>
          <w:color w:val="auto"/>
          <w:sz w:val="21"/>
          <w:szCs w:val="21"/>
          <w:highlight w:val="none"/>
        </w:rPr>
      </w:pPr>
      <w:r>
        <w:rPr>
          <w:bCs/>
          <w:i w:val="0"/>
          <w:iCs w:val="0"/>
          <w:color w:val="auto"/>
          <w:sz w:val="21"/>
          <w:szCs w:val="21"/>
          <w:highlight w:val="none"/>
        </w:rPr>
        <w:fldChar w:fldCharType="begin"/>
      </w:r>
      <w:r>
        <w:rPr>
          <w:bCs/>
          <w:i w:val="0"/>
          <w:iCs w:val="0"/>
          <w:color w:val="auto"/>
          <w:sz w:val="21"/>
          <w:szCs w:val="21"/>
          <w:highlight w:val="none"/>
        </w:rPr>
        <w:instrText xml:space="preserve"> HYPERLINK \l _Toc25403 </w:instrText>
      </w:r>
      <w:r>
        <w:rPr>
          <w:bCs/>
          <w:i w:val="0"/>
          <w:iCs w:val="0"/>
          <w:color w:val="auto"/>
          <w:sz w:val="21"/>
          <w:szCs w:val="21"/>
          <w:highlight w:val="none"/>
        </w:rPr>
        <w:fldChar w:fldCharType="separate"/>
      </w:r>
      <w:r>
        <w:rPr>
          <w:rFonts w:hint="eastAsia" w:hAnsi="宋体"/>
          <w:bCs/>
          <w:i w:val="0"/>
          <w:iCs w:val="0"/>
          <w:color w:val="auto"/>
          <w:kern w:val="44"/>
          <w:sz w:val="21"/>
          <w:szCs w:val="21"/>
          <w:highlight w:val="none"/>
          <w:lang w:val="zh-CN"/>
        </w:rPr>
        <w:t>（七）质疑与回复</w:t>
      </w:r>
      <w:r>
        <w:rPr>
          <w:i w:val="0"/>
          <w:iCs w:val="0"/>
          <w:color w:val="auto"/>
          <w:sz w:val="21"/>
          <w:szCs w:val="21"/>
          <w:highlight w:val="none"/>
        </w:rPr>
        <w:tab/>
      </w:r>
      <w:r>
        <w:rPr>
          <w:i w:val="0"/>
          <w:iCs w:val="0"/>
          <w:color w:val="auto"/>
          <w:sz w:val="21"/>
          <w:szCs w:val="21"/>
          <w:highlight w:val="none"/>
        </w:rPr>
        <w:fldChar w:fldCharType="begin"/>
      </w:r>
      <w:r>
        <w:rPr>
          <w:i w:val="0"/>
          <w:iCs w:val="0"/>
          <w:color w:val="auto"/>
          <w:sz w:val="21"/>
          <w:szCs w:val="21"/>
          <w:highlight w:val="none"/>
        </w:rPr>
        <w:instrText xml:space="preserve"> PAGEREF _Toc25403 \h </w:instrText>
      </w:r>
      <w:r>
        <w:rPr>
          <w:i w:val="0"/>
          <w:iCs w:val="0"/>
          <w:color w:val="auto"/>
          <w:sz w:val="21"/>
          <w:szCs w:val="21"/>
          <w:highlight w:val="none"/>
        </w:rPr>
        <w:fldChar w:fldCharType="separate"/>
      </w:r>
      <w:r>
        <w:rPr>
          <w:i w:val="0"/>
          <w:iCs w:val="0"/>
          <w:color w:val="auto"/>
          <w:sz w:val="21"/>
          <w:szCs w:val="21"/>
          <w:highlight w:val="none"/>
        </w:rPr>
        <w:t>18</w:t>
      </w:r>
      <w:r>
        <w:rPr>
          <w:i w:val="0"/>
          <w:iCs w:val="0"/>
          <w:color w:val="auto"/>
          <w:sz w:val="21"/>
          <w:szCs w:val="21"/>
          <w:highlight w:val="none"/>
        </w:rPr>
        <w:fldChar w:fldCharType="end"/>
      </w:r>
      <w:r>
        <w:rPr>
          <w:bCs/>
          <w:i w:val="0"/>
          <w:iCs w:val="0"/>
          <w:color w:val="auto"/>
          <w:sz w:val="21"/>
          <w:szCs w:val="21"/>
          <w:highlight w:val="none"/>
        </w:rPr>
        <w:fldChar w:fldCharType="end"/>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_Toc11484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第三篇 </w:t>
      </w:r>
      <w:r>
        <w:rPr>
          <w:rFonts w:hint="eastAsia" w:hAnsi="宋体"/>
          <w:color w:val="auto"/>
          <w:kern w:val="44"/>
          <w:sz w:val="21"/>
          <w:szCs w:val="21"/>
          <w:highlight w:val="none"/>
          <w:lang w:val="zh-CN"/>
        </w:rPr>
        <w:t>用户需求书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_Toc11484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bCs w:val="0"/>
          <w:color w:val="auto"/>
          <w:sz w:val="21"/>
          <w:szCs w:val="21"/>
          <w:highlight w:val="none"/>
        </w:rPr>
        <w:fldChar w:fldCharType="end"/>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_Toc15505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第四篇 </w:t>
      </w:r>
      <w:r>
        <w:rPr>
          <w:rFonts w:hint="eastAsia" w:hAnsi="宋体"/>
          <w:color w:val="auto"/>
          <w:kern w:val="44"/>
          <w:sz w:val="21"/>
          <w:szCs w:val="21"/>
          <w:highlight w:val="none"/>
          <w:lang w:val="zh-CN"/>
        </w:rPr>
        <w:t>评标工作大纲</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_Toc15505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bCs w:val="0"/>
          <w:color w:val="auto"/>
          <w:sz w:val="21"/>
          <w:szCs w:val="21"/>
          <w:highlight w:val="none"/>
        </w:rPr>
        <w:fldChar w:fldCharType="end"/>
      </w:r>
    </w:p>
    <w:p>
      <w:pPr>
        <w:pStyle w:val="40"/>
        <w:tabs>
          <w:tab w:val="right" w:leader="dot" w:pos="9639"/>
        </w:tabs>
        <w:spacing w:line="360" w:lineRule="auto"/>
        <w:rPr>
          <w:color w:val="auto"/>
          <w:sz w:val="21"/>
          <w:szCs w:val="21"/>
          <w:highlight w:val="none"/>
        </w:rPr>
      </w:pPr>
      <w:r>
        <w:rPr>
          <w:bCs/>
          <w:color w:val="auto"/>
          <w:sz w:val="21"/>
          <w:szCs w:val="21"/>
          <w:highlight w:val="none"/>
        </w:rPr>
        <w:fldChar w:fldCharType="begin"/>
      </w:r>
      <w:r>
        <w:rPr>
          <w:bCs/>
          <w:color w:val="auto"/>
          <w:sz w:val="21"/>
          <w:szCs w:val="21"/>
          <w:highlight w:val="none"/>
        </w:rPr>
        <w:instrText xml:space="preserve"> HYPERLINK \l _Toc4823 </w:instrText>
      </w:r>
      <w:r>
        <w:rPr>
          <w:bCs/>
          <w:color w:val="auto"/>
          <w:sz w:val="21"/>
          <w:szCs w:val="21"/>
          <w:highlight w:val="none"/>
        </w:rPr>
        <w:fldChar w:fldCharType="separate"/>
      </w:r>
      <w:r>
        <w:rPr>
          <w:rFonts w:hint="eastAsia" w:hAnsi="宋体"/>
          <w:color w:val="auto"/>
          <w:sz w:val="21"/>
          <w:szCs w:val="21"/>
          <w:highlight w:val="none"/>
        </w:rPr>
        <w:t>一、评标原则和目的</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_Toc4823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bCs/>
          <w:color w:val="auto"/>
          <w:sz w:val="21"/>
          <w:szCs w:val="21"/>
          <w:highlight w:val="none"/>
        </w:rPr>
        <w:fldChar w:fldCharType="end"/>
      </w:r>
    </w:p>
    <w:p>
      <w:pPr>
        <w:pStyle w:val="40"/>
        <w:tabs>
          <w:tab w:val="right" w:leader="dot" w:pos="9639"/>
        </w:tabs>
        <w:spacing w:line="360" w:lineRule="auto"/>
        <w:rPr>
          <w:color w:val="auto"/>
          <w:sz w:val="21"/>
          <w:szCs w:val="21"/>
          <w:highlight w:val="none"/>
        </w:rPr>
      </w:pPr>
      <w:r>
        <w:rPr>
          <w:bCs/>
          <w:color w:val="auto"/>
          <w:sz w:val="21"/>
          <w:szCs w:val="21"/>
          <w:highlight w:val="none"/>
        </w:rPr>
        <w:fldChar w:fldCharType="begin"/>
      </w:r>
      <w:r>
        <w:rPr>
          <w:bCs/>
          <w:color w:val="auto"/>
          <w:sz w:val="21"/>
          <w:szCs w:val="21"/>
          <w:highlight w:val="none"/>
        </w:rPr>
        <w:instrText xml:space="preserve"> HYPERLINK \l _Toc24134 </w:instrText>
      </w:r>
      <w:r>
        <w:rPr>
          <w:bCs/>
          <w:color w:val="auto"/>
          <w:sz w:val="21"/>
          <w:szCs w:val="21"/>
          <w:highlight w:val="none"/>
        </w:rPr>
        <w:fldChar w:fldCharType="separate"/>
      </w:r>
      <w:r>
        <w:rPr>
          <w:rFonts w:hint="eastAsia" w:hAnsi="宋体"/>
          <w:color w:val="auto"/>
          <w:sz w:val="21"/>
          <w:szCs w:val="21"/>
          <w:highlight w:val="none"/>
        </w:rPr>
        <w:t>二、评标程序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_Toc24134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bCs/>
          <w:color w:val="auto"/>
          <w:sz w:val="21"/>
          <w:szCs w:val="21"/>
          <w:highlight w:val="none"/>
        </w:rPr>
        <w:fldChar w:fldCharType="end"/>
      </w:r>
    </w:p>
    <w:p>
      <w:pPr>
        <w:pStyle w:val="40"/>
        <w:tabs>
          <w:tab w:val="right" w:leader="dot" w:pos="9639"/>
        </w:tabs>
        <w:spacing w:line="360" w:lineRule="auto"/>
        <w:rPr>
          <w:color w:val="auto"/>
          <w:sz w:val="21"/>
          <w:szCs w:val="21"/>
          <w:highlight w:val="none"/>
        </w:rPr>
      </w:pPr>
      <w:r>
        <w:rPr>
          <w:bCs/>
          <w:color w:val="auto"/>
          <w:sz w:val="21"/>
          <w:szCs w:val="21"/>
          <w:highlight w:val="none"/>
        </w:rPr>
        <w:fldChar w:fldCharType="begin"/>
      </w:r>
      <w:r>
        <w:rPr>
          <w:bCs/>
          <w:color w:val="auto"/>
          <w:sz w:val="21"/>
          <w:szCs w:val="21"/>
          <w:highlight w:val="none"/>
        </w:rPr>
        <w:instrText xml:space="preserve"> HYPERLINK \l _Toc13795 </w:instrText>
      </w:r>
      <w:r>
        <w:rPr>
          <w:bCs/>
          <w:color w:val="auto"/>
          <w:sz w:val="21"/>
          <w:szCs w:val="21"/>
          <w:highlight w:val="none"/>
        </w:rPr>
        <w:fldChar w:fldCharType="separate"/>
      </w:r>
      <w:r>
        <w:rPr>
          <w:rFonts w:hint="eastAsia" w:hAnsi="宋体" w:cs="宋体"/>
          <w:color w:val="auto"/>
          <w:sz w:val="21"/>
          <w:szCs w:val="21"/>
          <w:highlight w:val="none"/>
        </w:rPr>
        <w:t>三、评分标准和细则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_Toc13795 \h </w:instrText>
      </w:r>
      <w:r>
        <w:rPr>
          <w:color w:val="auto"/>
          <w:sz w:val="21"/>
          <w:szCs w:val="21"/>
          <w:highlight w:val="none"/>
        </w:rPr>
        <w:fldChar w:fldCharType="separate"/>
      </w:r>
      <w:r>
        <w:rPr>
          <w:color w:val="auto"/>
          <w:sz w:val="21"/>
          <w:szCs w:val="21"/>
          <w:highlight w:val="none"/>
        </w:rPr>
        <w:t>26</w:t>
      </w:r>
      <w:r>
        <w:rPr>
          <w:color w:val="auto"/>
          <w:sz w:val="21"/>
          <w:szCs w:val="21"/>
          <w:highlight w:val="none"/>
        </w:rPr>
        <w:fldChar w:fldCharType="end"/>
      </w:r>
      <w:r>
        <w:rPr>
          <w:bCs/>
          <w:color w:val="auto"/>
          <w:sz w:val="21"/>
          <w:szCs w:val="21"/>
          <w:highlight w:val="none"/>
        </w:rPr>
        <w:fldChar w:fldCharType="end"/>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_Toc21306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第五篇 </w:t>
      </w:r>
      <w:r>
        <w:rPr>
          <w:rFonts w:hint="eastAsia" w:hAnsi="宋体"/>
          <w:color w:val="auto"/>
          <w:kern w:val="44"/>
          <w:sz w:val="21"/>
          <w:szCs w:val="21"/>
          <w:highlight w:val="none"/>
          <w:lang w:val="zh-CN"/>
        </w:rPr>
        <w:t>合同条款格式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_Toc21306 \h </w:instrText>
      </w:r>
      <w:r>
        <w:rPr>
          <w:color w:val="auto"/>
          <w:sz w:val="21"/>
          <w:szCs w:val="21"/>
          <w:highlight w:val="none"/>
        </w:rPr>
        <w:fldChar w:fldCharType="separate"/>
      </w:r>
      <w:r>
        <w:rPr>
          <w:color w:val="auto"/>
          <w:sz w:val="21"/>
          <w:szCs w:val="21"/>
          <w:highlight w:val="none"/>
        </w:rPr>
        <w:t>30</w:t>
      </w:r>
      <w:r>
        <w:rPr>
          <w:color w:val="auto"/>
          <w:sz w:val="21"/>
          <w:szCs w:val="21"/>
          <w:highlight w:val="none"/>
        </w:rPr>
        <w:fldChar w:fldCharType="end"/>
      </w:r>
      <w:r>
        <w:rPr>
          <w:bCs w:val="0"/>
          <w:color w:val="auto"/>
          <w:sz w:val="21"/>
          <w:szCs w:val="21"/>
          <w:highlight w:val="none"/>
        </w:rPr>
        <w:fldChar w:fldCharType="end"/>
      </w:r>
    </w:p>
    <w:p>
      <w:pPr>
        <w:pStyle w:val="33"/>
        <w:tabs>
          <w:tab w:val="right" w:leader="dot" w:pos="9639"/>
        </w:tabs>
        <w:spacing w:line="360" w:lineRule="auto"/>
        <w:rPr>
          <w:color w:val="auto"/>
          <w:sz w:val="21"/>
          <w:szCs w:val="21"/>
          <w:highlight w:val="none"/>
        </w:rPr>
      </w:pPr>
      <w:r>
        <w:rPr>
          <w:bCs w:val="0"/>
          <w:color w:val="auto"/>
          <w:sz w:val="21"/>
          <w:szCs w:val="21"/>
          <w:highlight w:val="none"/>
        </w:rPr>
        <w:fldChar w:fldCharType="begin"/>
      </w:r>
      <w:r>
        <w:rPr>
          <w:bCs w:val="0"/>
          <w:color w:val="auto"/>
          <w:sz w:val="21"/>
          <w:szCs w:val="21"/>
          <w:highlight w:val="none"/>
        </w:rPr>
        <w:instrText xml:space="preserve"> HYPERLINK \l _Toc22751 </w:instrText>
      </w:r>
      <w:r>
        <w:rPr>
          <w:bCs w:val="0"/>
          <w:color w:val="auto"/>
          <w:sz w:val="21"/>
          <w:szCs w:val="21"/>
          <w:highlight w:val="none"/>
        </w:rPr>
        <w:fldChar w:fldCharType="separate"/>
      </w:r>
      <w:r>
        <w:rPr>
          <w:rFonts w:hAnsi="宋体"/>
          <w:bCs w:val="0"/>
          <w:color w:val="auto"/>
          <w:kern w:val="44"/>
          <w:sz w:val="21"/>
          <w:szCs w:val="21"/>
          <w:highlight w:val="none"/>
          <w:lang w:val="zh-CN"/>
        </w:rPr>
        <w:t xml:space="preserve">第六篇 </w:t>
      </w:r>
      <w:r>
        <w:rPr>
          <w:rFonts w:hint="eastAsia" w:hAnsi="宋体"/>
          <w:color w:val="auto"/>
          <w:kern w:val="44"/>
          <w:sz w:val="21"/>
          <w:szCs w:val="21"/>
          <w:highlight w:val="none"/>
          <w:lang w:val="zh-CN"/>
        </w:rPr>
        <w:t>投标文件格式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_Toc22751 \h </w:instrText>
      </w:r>
      <w:r>
        <w:rPr>
          <w:color w:val="auto"/>
          <w:sz w:val="21"/>
          <w:szCs w:val="21"/>
          <w:highlight w:val="none"/>
        </w:rPr>
        <w:fldChar w:fldCharType="separate"/>
      </w:r>
      <w:r>
        <w:rPr>
          <w:color w:val="auto"/>
          <w:sz w:val="21"/>
          <w:szCs w:val="21"/>
          <w:highlight w:val="none"/>
        </w:rPr>
        <w:t>61</w:t>
      </w:r>
      <w:r>
        <w:rPr>
          <w:color w:val="auto"/>
          <w:sz w:val="21"/>
          <w:szCs w:val="21"/>
          <w:highlight w:val="none"/>
        </w:rPr>
        <w:fldChar w:fldCharType="end"/>
      </w:r>
      <w:r>
        <w:rPr>
          <w:bCs w:val="0"/>
          <w:color w:val="auto"/>
          <w:sz w:val="21"/>
          <w:szCs w:val="21"/>
          <w:highlight w:val="none"/>
        </w:rPr>
        <w:fldChar w:fldCharType="end"/>
      </w:r>
    </w:p>
    <w:p>
      <w:pPr>
        <w:jc w:val="center"/>
        <w:rPr>
          <w:color w:val="auto"/>
          <w:highlight w:val="none"/>
        </w:rPr>
      </w:pPr>
      <w:r>
        <w:rPr>
          <w:b/>
          <w:bCs/>
          <w:color w:val="auto"/>
          <w:highlight w:val="none"/>
        </w:rPr>
        <w:fldChar w:fldCharType="end"/>
      </w:r>
      <w:bookmarkEnd w:id="1"/>
    </w:p>
    <w:p>
      <w:pPr>
        <w:rPr>
          <w:color w:val="auto"/>
          <w:highlight w:val="none"/>
        </w:rPr>
      </w:pPr>
    </w:p>
    <w:p>
      <w:pPr>
        <w:pStyle w:val="3"/>
        <w:keepNext/>
        <w:keepLines/>
        <w:pageBreakBefore/>
        <w:numPr>
          <w:ilvl w:val="0"/>
          <w:numId w:val="8"/>
        </w:numPr>
        <w:tabs>
          <w:tab w:val="left" w:pos="1080"/>
        </w:tabs>
        <w:spacing w:line="360" w:lineRule="auto"/>
        <w:ind w:left="1262" w:hanging="1262" w:hangingChars="449"/>
        <w:jc w:val="center"/>
        <w:rPr>
          <w:rFonts w:hint="eastAsia" w:hAnsi="宋体"/>
          <w:b/>
          <w:bCs/>
          <w:color w:val="auto"/>
          <w:kern w:val="44"/>
          <w:sz w:val="28"/>
          <w:szCs w:val="28"/>
          <w:highlight w:val="none"/>
          <w:lang w:val="zh-CN"/>
        </w:rPr>
      </w:pPr>
      <w:r>
        <w:rPr>
          <w:rFonts w:hint="eastAsia" w:hAnsi="宋体"/>
          <w:b/>
          <w:bCs/>
          <w:color w:val="auto"/>
          <w:kern w:val="44"/>
          <w:sz w:val="28"/>
          <w:szCs w:val="28"/>
          <w:highlight w:val="none"/>
        </w:rPr>
        <w:t xml:space="preserve"> </w:t>
      </w:r>
      <w:bookmarkStart w:id="2" w:name="_Toc28936"/>
      <w:r>
        <w:rPr>
          <w:rFonts w:hint="eastAsia" w:hAnsi="宋体"/>
          <w:b/>
          <w:bCs/>
          <w:color w:val="auto"/>
          <w:kern w:val="44"/>
          <w:sz w:val="28"/>
          <w:szCs w:val="28"/>
          <w:highlight w:val="none"/>
        </w:rPr>
        <w:t>投标邀请书</w:t>
      </w:r>
      <w:bookmarkEnd w:id="2"/>
    </w:p>
    <w:p>
      <w:pPr>
        <w:widowControl/>
        <w:tabs>
          <w:tab w:val="left" w:pos="-360"/>
        </w:tabs>
        <w:adjustRightInd/>
        <w:spacing w:line="360" w:lineRule="auto"/>
        <w:ind w:right="-34" w:firstLine="420" w:firstLineChars="200"/>
        <w:jc w:val="both"/>
        <w:textAlignment w:val="bottom"/>
        <w:rPr>
          <w:rFonts w:hint="eastAsia" w:hAnsi="宋体"/>
          <w:color w:val="auto"/>
          <w:sz w:val="21"/>
          <w:szCs w:val="21"/>
          <w:highlight w:val="none"/>
        </w:rPr>
      </w:pPr>
      <w:r>
        <w:rPr>
          <w:rFonts w:hint="eastAsia" w:hAnsi="宋体"/>
          <w:color w:val="auto"/>
          <w:sz w:val="21"/>
          <w:szCs w:val="21"/>
          <w:highlight w:val="none"/>
        </w:rPr>
        <w:t>广东泰通伟业工程咨询有限公司（以下简称“招标代理机构”）受东莞市旗美投资发展有限公司（以下简称“招标人”）的委托，为</w:t>
      </w:r>
      <w:r>
        <w:rPr>
          <w:rFonts w:hint="eastAsia" w:hAnsi="宋体"/>
          <w:color w:val="auto"/>
          <w:sz w:val="21"/>
          <w:szCs w:val="21"/>
          <w:highlight w:val="none"/>
          <w:lang w:eastAsia="zh-CN"/>
        </w:rPr>
        <w:t>东莞市湾区国际制造中心总部预算审核</w:t>
      </w:r>
      <w:r>
        <w:rPr>
          <w:rFonts w:hint="eastAsia" w:hAnsi="宋体"/>
          <w:color w:val="auto"/>
          <w:sz w:val="21"/>
          <w:szCs w:val="21"/>
          <w:highlight w:val="none"/>
        </w:rPr>
        <w:t>(项目编号：DGQS-WQ-03-017-020（2021）招标所需的服务。本项目采用国内公开招标的招标方式，欢迎合格投标人就本项目提交密封投标。</w:t>
      </w:r>
    </w:p>
    <w:p>
      <w:pPr>
        <w:widowControl/>
        <w:numPr>
          <w:ilvl w:val="0"/>
          <w:numId w:val="9"/>
        </w:numPr>
        <w:adjustRightInd/>
        <w:spacing w:line="360" w:lineRule="auto"/>
        <w:rPr>
          <w:rFonts w:hint="eastAsia" w:hAnsi="宋体"/>
          <w:color w:val="auto"/>
          <w:sz w:val="21"/>
          <w:szCs w:val="21"/>
          <w:highlight w:val="none"/>
        </w:rPr>
      </w:pPr>
      <w:r>
        <w:rPr>
          <w:rFonts w:hint="eastAsia" w:hAnsi="宋体" w:cs="宋体"/>
          <w:b/>
          <w:bCs/>
          <w:color w:val="auto"/>
          <w:kern w:val="28"/>
          <w:sz w:val="21"/>
          <w:szCs w:val="21"/>
          <w:highlight w:val="none"/>
        </w:rPr>
        <w:t>邀请合格投标人就下列所有服务提交密封投标：</w:t>
      </w:r>
    </w:p>
    <w:p>
      <w:pPr>
        <w:widowControl/>
        <w:numPr>
          <w:ilvl w:val="0"/>
          <w:numId w:val="10"/>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东莞市湾区国际制造中心总部预算审核</w:t>
      </w:r>
    </w:p>
    <w:p>
      <w:pPr>
        <w:widowControl/>
        <w:numPr>
          <w:ilvl w:val="0"/>
          <w:numId w:val="10"/>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项目编号：DGQS-WQ-03-017-020（2021）</w:t>
      </w:r>
    </w:p>
    <w:p>
      <w:pPr>
        <w:widowControl/>
        <w:numPr>
          <w:ilvl w:val="0"/>
          <w:numId w:val="10"/>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项目预算金额（最高限价）:1570820.21元</w:t>
      </w:r>
    </w:p>
    <w:p>
      <w:pPr>
        <w:widowControl/>
        <w:numPr>
          <w:ilvl w:val="0"/>
          <w:numId w:val="10"/>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项目需求：详见招标文件第三篇用户需求书。</w:t>
      </w:r>
    </w:p>
    <w:p>
      <w:pPr>
        <w:widowControl/>
        <w:numPr>
          <w:ilvl w:val="0"/>
          <w:numId w:val="9"/>
        </w:numPr>
        <w:adjustRightInd/>
        <w:spacing w:line="360" w:lineRule="auto"/>
        <w:rPr>
          <w:rFonts w:hAnsi="宋体"/>
          <w:color w:val="auto"/>
          <w:kern w:val="2"/>
          <w:sz w:val="21"/>
          <w:szCs w:val="21"/>
          <w:highlight w:val="none"/>
        </w:rPr>
      </w:pPr>
      <w:r>
        <w:rPr>
          <w:rFonts w:hint="eastAsia" w:hAnsi="宋体" w:cs="宋体"/>
          <w:b/>
          <w:bCs/>
          <w:color w:val="auto"/>
          <w:kern w:val="28"/>
          <w:sz w:val="21"/>
          <w:szCs w:val="21"/>
          <w:highlight w:val="none"/>
          <w:lang w:val="zh-CN"/>
        </w:rPr>
        <w:t>供应商须满足以下资格条件</w:t>
      </w:r>
      <w:r>
        <w:rPr>
          <w:rFonts w:hint="eastAsia" w:hAnsi="宋体" w:cs="宋体"/>
          <w:b/>
          <w:bCs/>
          <w:color w:val="auto"/>
          <w:kern w:val="28"/>
          <w:sz w:val="21"/>
          <w:szCs w:val="21"/>
          <w:highlight w:val="none"/>
        </w:rPr>
        <w:t>：</w:t>
      </w:r>
    </w:p>
    <w:p>
      <w:pPr>
        <w:widowControl/>
        <w:numPr>
          <w:ilvl w:val="0"/>
          <w:numId w:val="11"/>
        </w:numPr>
        <w:adjustRightInd/>
        <w:spacing w:line="360" w:lineRule="auto"/>
        <w:ind w:right="53"/>
        <w:textAlignment w:val="bottom"/>
        <w:rPr>
          <w:rFonts w:hAnsi="宋体"/>
          <w:color w:val="auto"/>
          <w:kern w:val="2"/>
          <w:sz w:val="21"/>
          <w:szCs w:val="21"/>
          <w:highlight w:val="none"/>
        </w:rPr>
      </w:pPr>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（二）供应商的单位负责人为同一人或者存在直接控股、管理关系的不同供应商，不得参加同一合同项下的招标活动。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（三）供应商参加招标活动前三年内，在经营活动中没有重大违法记录（须提供书面声明）。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招标代理机构响应截止日当天在“信用中国”网站（www.creditchina.gov.cn）查询结果为准，如相关失信记录已失效，供应商需提供相关证明资料）。</w:t>
      </w:r>
    </w:p>
    <w:p>
      <w:pPr>
        <w:widowControl/>
        <w:adjustRightInd/>
        <w:spacing w:line="360" w:lineRule="auto"/>
        <w:ind w:left="420" w:right="53"/>
        <w:textAlignment w:val="bottom"/>
        <w:rPr>
          <w:color w:val="auto"/>
          <w:highlight w:val="none"/>
        </w:rPr>
      </w:pPr>
      <w:r>
        <w:rPr>
          <w:rFonts w:hint="eastAsia" w:hAnsi="宋体"/>
          <w:color w:val="auto"/>
          <w:kern w:val="2"/>
          <w:sz w:val="21"/>
          <w:szCs w:val="21"/>
          <w:highlight w:val="none"/>
        </w:rPr>
        <w:t>（五）本项目不接受联合体投标。</w:t>
      </w:r>
    </w:p>
    <w:p>
      <w:pPr>
        <w:widowControl/>
        <w:adjustRightInd/>
        <w:spacing w:line="360" w:lineRule="auto"/>
        <w:ind w:left="420" w:right="53"/>
        <w:textAlignment w:val="bottom"/>
        <w:rPr>
          <w:rFonts w:hint="eastAsia" w:hAnsi="宋体"/>
          <w:color w:val="auto"/>
          <w:kern w:val="2"/>
          <w:sz w:val="21"/>
          <w:szCs w:val="21"/>
          <w:highlight w:val="none"/>
          <w:lang w:eastAsia="zh-CN"/>
        </w:rPr>
      </w:pPr>
      <w:r>
        <w:rPr>
          <w:rFonts w:hint="eastAsia" w:hAnsi="宋体"/>
          <w:color w:val="auto"/>
          <w:kern w:val="2"/>
          <w:sz w:val="21"/>
          <w:szCs w:val="21"/>
          <w:highlight w:val="none"/>
          <w:lang w:eastAsia="zh-CN"/>
        </w:rPr>
        <w:t>（六）本招标项目不接受本项目的预算编制单位或与本项目的预算编制单位存在直接控股、管理关系的供应商参与投标（需提供承诺书，格式不限）。</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lang w:eastAsia="zh-CN"/>
        </w:rPr>
        <w:t>（七）</w:t>
      </w:r>
      <w:r>
        <w:rPr>
          <w:rFonts w:hint="eastAsia"/>
          <w:b/>
          <w:color w:val="auto"/>
          <w:kern w:val="2"/>
          <w:sz w:val="21"/>
          <w:szCs w:val="21"/>
          <w:highlight w:val="none"/>
        </w:rPr>
        <w:t>供应商未被列入东实集团及下属企业工程建设领域黑名单。【以东莞实业投资控股集团有限公司发文（东实通〔2021〕44号）、（东实通〔2021〕98号）为准】</w:t>
      </w:r>
    </w:p>
    <w:p>
      <w:pPr>
        <w:widowControl/>
        <w:adjustRightInd/>
        <w:spacing w:line="360" w:lineRule="auto"/>
        <w:rPr>
          <w:rFonts w:hint="eastAsia" w:hAnsi="宋体" w:cs="宋体"/>
          <w:b/>
          <w:bCs/>
          <w:color w:val="auto"/>
          <w:kern w:val="28"/>
          <w:sz w:val="21"/>
          <w:szCs w:val="21"/>
          <w:highlight w:val="none"/>
        </w:rPr>
      </w:pPr>
      <w:r>
        <w:rPr>
          <w:rFonts w:hint="eastAsia" w:hAnsi="宋体" w:cs="宋体"/>
          <w:b/>
          <w:bCs/>
          <w:color w:val="auto"/>
          <w:kern w:val="28"/>
          <w:sz w:val="21"/>
          <w:szCs w:val="21"/>
          <w:highlight w:val="none"/>
          <w:lang w:val="zh-CN"/>
        </w:rPr>
        <w:t>三、报名时间、地点及方法</w:t>
      </w:r>
      <w:r>
        <w:rPr>
          <w:rFonts w:hint="eastAsia" w:hAnsi="宋体" w:cs="宋体"/>
          <w:b/>
          <w:bCs/>
          <w:color w:val="auto"/>
          <w:kern w:val="28"/>
          <w:sz w:val="21"/>
          <w:szCs w:val="21"/>
          <w:highlight w:val="none"/>
        </w:rPr>
        <w:t>：</w:t>
      </w:r>
    </w:p>
    <w:p>
      <w:pPr>
        <w:widowControl/>
        <w:adjustRightInd/>
        <w:spacing w:line="360" w:lineRule="auto"/>
        <w:ind w:left="480" w:leftChars="200" w:firstLine="396" w:firstLineChars="200"/>
        <w:rPr>
          <w:rFonts w:hint="eastAsia" w:hAnsi="宋体" w:cs="宋体"/>
          <w:b/>
          <w:bCs/>
          <w:color w:val="auto"/>
          <w:kern w:val="28"/>
          <w:sz w:val="21"/>
          <w:szCs w:val="21"/>
          <w:highlight w:val="none"/>
        </w:rPr>
      </w:pPr>
      <w:r>
        <w:rPr>
          <w:rFonts w:hint="eastAsia" w:hAnsi="宋体"/>
          <w:bCs/>
          <w:color w:val="auto"/>
          <w:spacing w:val="-6"/>
          <w:sz w:val="21"/>
          <w:szCs w:val="21"/>
          <w:highlight w:val="none"/>
        </w:rPr>
        <w:t>无需报名，招标文件自行网上</w:t>
      </w:r>
      <w:r>
        <w:rPr>
          <w:rFonts w:hint="eastAsia" w:hAnsi="宋体" w:cs="宋体"/>
          <w:color w:val="auto"/>
          <w:spacing w:val="-6"/>
          <w:kern w:val="28"/>
          <w:sz w:val="21"/>
          <w:szCs w:val="21"/>
          <w:highlight w:val="none"/>
        </w:rPr>
        <w:t>下载，下载地址：</w:t>
      </w:r>
      <w:r>
        <w:rPr>
          <w:rFonts w:hint="eastAsia" w:hAnsi="宋体" w:cs="宋体"/>
          <w:bCs/>
          <w:color w:val="auto"/>
          <w:kern w:val="28"/>
          <w:sz w:val="21"/>
          <w:szCs w:val="21"/>
          <w:highlight w:val="none"/>
          <w:lang w:val="zh-CN"/>
        </w:rPr>
        <w:t>中国招标投标公共服务平台（http://www.cebpubservice.com/）、</w:t>
      </w:r>
      <w:r>
        <w:rPr>
          <w:rFonts w:hint="eastAsia" w:hAnsi="宋体" w:cs="宋体"/>
          <w:color w:val="auto"/>
          <w:spacing w:val="-6"/>
          <w:kern w:val="28"/>
          <w:sz w:val="21"/>
          <w:szCs w:val="21"/>
          <w:highlight w:val="none"/>
        </w:rPr>
        <w:t>东莞实业投资控股集团有限公司-招标采购栏目（http://www.dgsy.com.cn/）、广东泰通伟业工程咨询有限公司官网-招标采购栏目（http://www.weiyecoltd.com/）。</w:t>
      </w:r>
    </w:p>
    <w:p>
      <w:pPr>
        <w:widowControl/>
        <w:tabs>
          <w:tab w:val="left" w:pos="-360"/>
        </w:tabs>
        <w:adjustRightInd/>
        <w:spacing w:line="360" w:lineRule="auto"/>
        <w:ind w:right="-34"/>
        <w:jc w:val="both"/>
        <w:textAlignment w:val="bottom"/>
        <w:rPr>
          <w:rFonts w:hint="eastAsia" w:hAnsi="宋体"/>
          <w:b/>
          <w:bCs/>
          <w:color w:val="auto"/>
          <w:sz w:val="21"/>
          <w:szCs w:val="21"/>
          <w:highlight w:val="none"/>
        </w:rPr>
      </w:pPr>
      <w:r>
        <w:rPr>
          <w:rFonts w:hint="eastAsia" w:hAnsi="宋体"/>
          <w:b/>
          <w:bCs/>
          <w:color w:val="auto"/>
          <w:sz w:val="21"/>
          <w:szCs w:val="21"/>
          <w:highlight w:val="none"/>
        </w:rPr>
        <w:t>四、投标文件递交截止时间：2021年</w:t>
      </w:r>
      <w:r>
        <w:rPr>
          <w:rFonts w:hint="eastAsia" w:hAnsi="宋体"/>
          <w:b/>
          <w:bCs/>
          <w:color w:val="auto"/>
          <w:sz w:val="21"/>
          <w:szCs w:val="21"/>
          <w:highlight w:val="none"/>
          <w:u w:val="single"/>
        </w:rPr>
        <w:t xml:space="preserve"> </w:t>
      </w:r>
      <w:r>
        <w:rPr>
          <w:rFonts w:hint="eastAsia" w:hAnsi="宋体"/>
          <w:b/>
          <w:bCs/>
          <w:color w:val="auto"/>
          <w:sz w:val="21"/>
          <w:szCs w:val="21"/>
          <w:highlight w:val="none"/>
          <w:u w:val="single"/>
          <w:lang w:val="en-US" w:eastAsia="zh-CN"/>
        </w:rPr>
        <w:t>8</w:t>
      </w:r>
      <w:r>
        <w:rPr>
          <w:rFonts w:hint="eastAsia" w:hAnsi="宋体"/>
          <w:b/>
          <w:bCs/>
          <w:color w:val="auto"/>
          <w:sz w:val="21"/>
          <w:szCs w:val="21"/>
          <w:highlight w:val="none"/>
          <w:u w:val="single"/>
        </w:rPr>
        <w:t xml:space="preserve"> </w:t>
      </w:r>
      <w:r>
        <w:rPr>
          <w:rFonts w:hint="eastAsia" w:hAnsi="宋体"/>
          <w:b/>
          <w:bCs/>
          <w:color w:val="auto"/>
          <w:sz w:val="21"/>
          <w:szCs w:val="21"/>
          <w:highlight w:val="none"/>
        </w:rPr>
        <w:t>月</w:t>
      </w:r>
      <w:r>
        <w:rPr>
          <w:rFonts w:hint="eastAsia" w:hAnsi="宋体"/>
          <w:b/>
          <w:bCs/>
          <w:color w:val="auto"/>
          <w:sz w:val="21"/>
          <w:szCs w:val="21"/>
          <w:highlight w:val="none"/>
          <w:u w:val="single"/>
        </w:rPr>
        <w:t xml:space="preserve"> </w:t>
      </w:r>
      <w:r>
        <w:rPr>
          <w:rFonts w:hint="eastAsia" w:hAnsi="宋体"/>
          <w:b/>
          <w:bCs/>
          <w:color w:val="auto"/>
          <w:sz w:val="21"/>
          <w:szCs w:val="21"/>
          <w:highlight w:val="none"/>
          <w:u w:val="single"/>
          <w:lang w:val="en-US" w:eastAsia="zh-CN"/>
        </w:rPr>
        <w:t>12</w:t>
      </w:r>
      <w:r>
        <w:rPr>
          <w:rFonts w:hint="eastAsia" w:hAnsi="宋体"/>
          <w:b/>
          <w:bCs/>
          <w:color w:val="auto"/>
          <w:sz w:val="21"/>
          <w:szCs w:val="21"/>
          <w:highlight w:val="none"/>
          <w:u w:val="single"/>
        </w:rPr>
        <w:t xml:space="preserve"> </w:t>
      </w:r>
      <w:r>
        <w:rPr>
          <w:rFonts w:hint="eastAsia" w:hAnsi="宋体"/>
          <w:b/>
          <w:bCs/>
          <w:color w:val="auto"/>
          <w:sz w:val="21"/>
          <w:szCs w:val="21"/>
          <w:highlight w:val="none"/>
        </w:rPr>
        <w:t>日上午09:30时（北京时间）</w:t>
      </w:r>
    </w:p>
    <w:p>
      <w:pPr>
        <w:widowControl/>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 xml:space="preserve">   [投标文件递交开始时间：2021年</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8</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12</w:t>
      </w:r>
      <w:r>
        <w:rPr>
          <w:rFonts w:hint="eastAsia" w:hAnsi="宋体"/>
          <w:color w:val="auto"/>
          <w:sz w:val="21"/>
          <w:szCs w:val="21"/>
          <w:highlight w:val="none"/>
          <w:u w:val="single"/>
        </w:rPr>
        <w:t xml:space="preserve"> </w:t>
      </w:r>
      <w:r>
        <w:rPr>
          <w:rFonts w:hint="eastAsia" w:hAnsi="宋体"/>
          <w:color w:val="auto"/>
          <w:sz w:val="21"/>
          <w:szCs w:val="21"/>
          <w:highlight w:val="none"/>
        </w:rPr>
        <w:t>日上午09:00～09:30时（北京时间）]</w:t>
      </w:r>
    </w:p>
    <w:p>
      <w:pPr>
        <w:widowControl/>
        <w:tabs>
          <w:tab w:val="left" w:pos="-360"/>
        </w:tabs>
        <w:adjustRightInd/>
        <w:spacing w:line="360" w:lineRule="auto"/>
        <w:ind w:right="-34"/>
        <w:jc w:val="both"/>
        <w:textAlignment w:val="bottom"/>
        <w:rPr>
          <w:rFonts w:hint="eastAsia" w:hAnsi="宋体"/>
          <w:b/>
          <w:bCs/>
          <w:color w:val="auto"/>
          <w:sz w:val="21"/>
          <w:szCs w:val="21"/>
          <w:highlight w:val="none"/>
        </w:rPr>
      </w:pPr>
      <w:r>
        <w:rPr>
          <w:rFonts w:hint="eastAsia" w:hAnsi="宋体"/>
          <w:b/>
          <w:bCs/>
          <w:color w:val="auto"/>
          <w:sz w:val="21"/>
          <w:szCs w:val="21"/>
          <w:highlight w:val="none"/>
        </w:rPr>
        <w:t>五、开标时间、地点：</w:t>
      </w:r>
    </w:p>
    <w:p>
      <w:pPr>
        <w:widowControl/>
        <w:numPr>
          <w:ilvl w:val="0"/>
          <w:numId w:val="12"/>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kern w:val="2"/>
          <w:sz w:val="21"/>
          <w:szCs w:val="21"/>
          <w:highlight w:val="none"/>
        </w:rPr>
        <w:t>开标时间：</w:t>
      </w:r>
      <w:r>
        <w:rPr>
          <w:rFonts w:hint="eastAsia" w:hAnsi="宋体"/>
          <w:color w:val="auto"/>
          <w:sz w:val="21"/>
          <w:szCs w:val="21"/>
          <w:highlight w:val="none"/>
        </w:rPr>
        <w:t>2021年</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8</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12</w:t>
      </w:r>
      <w:r>
        <w:rPr>
          <w:rFonts w:hint="eastAsia" w:hAnsi="宋体"/>
          <w:color w:val="auto"/>
          <w:sz w:val="21"/>
          <w:szCs w:val="21"/>
          <w:highlight w:val="none"/>
          <w:u w:val="single"/>
        </w:rPr>
        <w:t xml:space="preserve"> </w:t>
      </w:r>
      <w:r>
        <w:rPr>
          <w:rFonts w:hint="eastAsia" w:hAnsi="宋体"/>
          <w:color w:val="auto"/>
          <w:sz w:val="21"/>
          <w:szCs w:val="21"/>
          <w:highlight w:val="none"/>
        </w:rPr>
        <w:t>日上午09:30时（北京时间）</w:t>
      </w:r>
    </w:p>
    <w:p>
      <w:pPr>
        <w:widowControl/>
        <w:numPr>
          <w:ilvl w:val="0"/>
          <w:numId w:val="12"/>
        </w:numPr>
        <w:tabs>
          <w:tab w:val="left" w:pos="-360"/>
        </w:tabs>
        <w:adjustRightInd/>
        <w:spacing w:line="360" w:lineRule="auto"/>
        <w:ind w:right="-34"/>
        <w:jc w:val="both"/>
        <w:textAlignment w:val="bottom"/>
        <w:rPr>
          <w:rFonts w:hint="eastAsia" w:hAnsi="宋体"/>
          <w:color w:val="auto"/>
          <w:sz w:val="21"/>
          <w:szCs w:val="21"/>
          <w:highlight w:val="none"/>
        </w:rPr>
      </w:pPr>
      <w:r>
        <w:rPr>
          <w:rFonts w:hint="eastAsia" w:hAnsi="宋体"/>
          <w:color w:val="auto"/>
          <w:sz w:val="21"/>
          <w:szCs w:val="21"/>
          <w:highlight w:val="none"/>
        </w:rPr>
        <w:t>开标地点：东莞市东城莞龙路下桥银门街一号办公楼六楼618室</w:t>
      </w:r>
    </w:p>
    <w:p>
      <w:pPr>
        <w:widowControl/>
        <w:tabs>
          <w:tab w:val="left" w:pos="-360"/>
        </w:tabs>
        <w:adjustRightInd/>
        <w:spacing w:line="360" w:lineRule="auto"/>
        <w:ind w:right="-34"/>
        <w:jc w:val="both"/>
        <w:textAlignment w:val="bottom"/>
        <w:rPr>
          <w:rFonts w:hAnsi="宋体"/>
          <w:b/>
          <w:color w:val="auto"/>
          <w:sz w:val="21"/>
          <w:szCs w:val="21"/>
          <w:highlight w:val="none"/>
        </w:rPr>
      </w:pPr>
      <w:bookmarkStart w:id="3" w:name="_Toc396137230"/>
      <w:r>
        <w:rPr>
          <w:rFonts w:hint="eastAsia" w:hAnsi="宋体"/>
          <w:b/>
          <w:color w:val="auto"/>
          <w:sz w:val="21"/>
          <w:szCs w:val="21"/>
          <w:highlight w:val="none"/>
        </w:rPr>
        <w:t>六、</w:t>
      </w:r>
      <w:r>
        <w:rPr>
          <w:rFonts w:hAnsi="宋体"/>
          <w:b/>
          <w:color w:val="auto"/>
          <w:sz w:val="21"/>
          <w:szCs w:val="21"/>
          <w:highlight w:val="none"/>
        </w:rPr>
        <w:t>有关此次</w:t>
      </w:r>
      <w:r>
        <w:rPr>
          <w:rFonts w:hint="eastAsia" w:hAnsi="宋体"/>
          <w:b/>
          <w:color w:val="auto"/>
          <w:sz w:val="21"/>
          <w:szCs w:val="21"/>
          <w:highlight w:val="none"/>
        </w:rPr>
        <w:t>招标</w:t>
      </w:r>
      <w:r>
        <w:rPr>
          <w:rFonts w:hAnsi="宋体"/>
          <w:b/>
          <w:color w:val="auto"/>
          <w:sz w:val="21"/>
          <w:szCs w:val="21"/>
          <w:highlight w:val="none"/>
        </w:rPr>
        <w:t>事宜，可按下列</w:t>
      </w:r>
      <w:r>
        <w:rPr>
          <w:rFonts w:hint="eastAsia" w:hAnsi="宋体"/>
          <w:b/>
          <w:color w:val="auto"/>
          <w:sz w:val="21"/>
          <w:szCs w:val="21"/>
          <w:highlight w:val="none"/>
        </w:rPr>
        <w:t>联系方式向招标代理机构或招标人查询：</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招标代理机构：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bookmarkStart w:id="337" w:name="_GoBack"/>
      <w:bookmarkEnd w:id="337"/>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w:t>
      </w:r>
      <w:r>
        <w:rPr>
          <w:rFonts w:hint="eastAsia" w:hAnsi="宋体"/>
          <w:color w:val="auto"/>
          <w:sz w:val="21"/>
          <w:szCs w:val="21"/>
          <w:highlight w:val="none"/>
        </w:rPr>
        <w:t xml:space="preserve"> </w:t>
      </w:r>
      <w:r>
        <w:rPr>
          <w:rFonts w:hAnsi="宋体"/>
          <w:color w:val="auto"/>
          <w:sz w:val="21"/>
          <w:szCs w:val="21"/>
          <w:highlight w:val="none"/>
        </w:rPr>
        <w:t>系</w:t>
      </w:r>
      <w:r>
        <w:rPr>
          <w:rFonts w:hint="eastAsia" w:hAnsi="宋体"/>
          <w:color w:val="auto"/>
          <w:sz w:val="21"/>
          <w:szCs w:val="21"/>
          <w:highlight w:val="none"/>
        </w:rPr>
        <w:t xml:space="preserve"> </w:t>
      </w:r>
      <w:r>
        <w:rPr>
          <w:rFonts w:hAnsi="宋体"/>
          <w:color w:val="auto"/>
          <w:sz w:val="21"/>
          <w:szCs w:val="21"/>
          <w:highlight w:val="none"/>
        </w:rPr>
        <w:t>人:</w:t>
      </w:r>
      <w:r>
        <w:rPr>
          <w:rFonts w:hint="eastAsia" w:hAnsi="宋体"/>
          <w:color w:val="auto"/>
          <w:sz w:val="21"/>
          <w:szCs w:val="21"/>
          <w:highlight w:val="none"/>
        </w:rPr>
        <w:t xml:space="preserve"> 冼小姐</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0769-22088829</w:t>
      </w:r>
    </w:p>
    <w:p>
      <w:pPr>
        <w:spacing w:line="360" w:lineRule="auto"/>
        <w:ind w:right="-34" w:firstLine="424" w:firstLineChars="202"/>
        <w:jc w:val="both"/>
        <w:rPr>
          <w:rFonts w:hint="eastAsia"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int="eastAsia" w:hAnsi="宋体"/>
          <w:color w:val="auto"/>
          <w:sz w:val="21"/>
          <w:szCs w:val="21"/>
          <w:highlight w:val="none"/>
        </w:rPr>
      </w:pPr>
      <w:r>
        <w:rPr>
          <w:rFonts w:hint="eastAsia" w:hAnsi="宋体"/>
          <w:color w:val="auto"/>
          <w:sz w:val="21"/>
          <w:szCs w:val="21"/>
          <w:highlight w:val="none"/>
        </w:rPr>
        <w:t>采 购 人：东莞市旗美投资发展有限公司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东莞市东城区八一路机关二号大院9号楼</w:t>
      </w:r>
    </w:p>
    <w:p>
      <w:pPr>
        <w:spacing w:line="360" w:lineRule="auto"/>
        <w:ind w:right="-34" w:firstLine="424" w:firstLineChars="202"/>
        <w:jc w:val="both"/>
        <w:rPr>
          <w:rFonts w:hint="eastAsia"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曾工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0769-28681293</w:t>
      </w:r>
    </w:p>
    <w:p>
      <w:pPr>
        <w:jc w:val="right"/>
        <w:rPr>
          <w:rFonts w:hAnsi="宋体"/>
          <w:b w:val="0"/>
          <w:bCs w:val="0"/>
          <w:color w:val="auto"/>
          <w:sz w:val="21"/>
          <w:szCs w:val="21"/>
          <w:highlight w:val="none"/>
        </w:rPr>
      </w:pPr>
      <w:r>
        <w:rPr>
          <w:rFonts w:hAnsi="宋体"/>
          <w:b w:val="0"/>
          <w:bCs w:val="0"/>
          <w:color w:val="auto"/>
          <w:sz w:val="21"/>
          <w:szCs w:val="21"/>
          <w:highlight w:val="none"/>
        </w:rPr>
        <w:t>广东泰通伟业工程咨询有限公司</w:t>
      </w:r>
    </w:p>
    <w:p>
      <w:pPr>
        <w:pStyle w:val="2"/>
        <w:jc w:val="right"/>
        <w:rPr>
          <w:rFonts w:hint="default" w:eastAsia="宋体"/>
          <w:b w:val="0"/>
          <w:bCs w:val="0"/>
          <w:sz w:val="21"/>
          <w:szCs w:val="21"/>
          <w:lang w:val="en-US" w:eastAsia="zh-CN"/>
        </w:rPr>
      </w:pPr>
      <w:r>
        <w:rPr>
          <w:rFonts w:hint="eastAsia"/>
          <w:b w:val="0"/>
          <w:bCs w:val="0"/>
          <w:sz w:val="21"/>
          <w:szCs w:val="21"/>
          <w:lang w:val="en-US" w:eastAsia="zh-CN"/>
        </w:rPr>
        <w:t>2021年7月21日</w:t>
      </w:r>
    </w:p>
    <w:p>
      <w:pPr>
        <w:spacing w:line="360" w:lineRule="auto"/>
        <w:ind w:right="-34" w:firstLine="424" w:firstLineChars="202"/>
        <w:jc w:val="both"/>
        <w:rPr>
          <w:rFonts w:hint="eastAsia" w:hAnsi="宋体"/>
          <w:color w:val="auto"/>
          <w:sz w:val="21"/>
          <w:szCs w:val="21"/>
          <w:highlight w:val="none"/>
        </w:rPr>
      </w:pPr>
    </w:p>
    <w:p>
      <w:pPr>
        <w:pStyle w:val="3"/>
        <w:keepNext/>
        <w:keepLines/>
        <w:pageBreakBefore/>
        <w:numPr>
          <w:ilvl w:val="0"/>
          <w:numId w:val="8"/>
        </w:numPr>
        <w:tabs>
          <w:tab w:val="left" w:pos="1080"/>
        </w:tabs>
        <w:spacing w:line="360" w:lineRule="auto"/>
        <w:ind w:left="1262" w:hanging="1262" w:hangingChars="449"/>
        <w:jc w:val="center"/>
        <w:rPr>
          <w:rFonts w:hint="eastAsia" w:hAnsi="宋体"/>
          <w:b/>
          <w:bCs/>
          <w:color w:val="auto"/>
          <w:kern w:val="44"/>
          <w:sz w:val="28"/>
          <w:szCs w:val="28"/>
          <w:highlight w:val="none"/>
          <w:lang w:val="zh-CN"/>
        </w:rPr>
      </w:pPr>
      <w:r>
        <w:rPr>
          <w:rFonts w:hint="eastAsia" w:hAnsi="宋体"/>
          <w:b/>
          <w:bCs/>
          <w:color w:val="auto"/>
          <w:kern w:val="44"/>
          <w:sz w:val="28"/>
          <w:szCs w:val="28"/>
          <w:highlight w:val="none"/>
        </w:rPr>
        <w:t xml:space="preserve"> </w:t>
      </w:r>
      <w:bookmarkStart w:id="4" w:name="_Toc23670"/>
      <w:r>
        <w:rPr>
          <w:rFonts w:hint="eastAsia" w:hAnsi="宋体"/>
          <w:b/>
          <w:bCs/>
          <w:color w:val="auto"/>
          <w:kern w:val="44"/>
          <w:sz w:val="28"/>
          <w:szCs w:val="28"/>
          <w:highlight w:val="none"/>
          <w:lang w:val="zh-CN"/>
        </w:rPr>
        <w:t>投标人须知</w:t>
      </w:r>
      <w:bookmarkEnd w:id="3"/>
      <w:bookmarkEnd w:id="4"/>
    </w:p>
    <w:p>
      <w:pPr>
        <w:pStyle w:val="2"/>
        <w:rPr>
          <w:color w:val="auto"/>
          <w:highlight w:val="none"/>
          <w:lang w:val="zh-CN"/>
        </w:rPr>
      </w:pPr>
      <w:bookmarkStart w:id="5" w:name="_Toc396137231"/>
      <w:bookmarkStart w:id="6" w:name="_Toc7584"/>
      <w:r>
        <w:rPr>
          <w:rFonts w:hint="eastAsia"/>
          <w:color w:val="auto"/>
          <w:highlight w:val="none"/>
          <w:lang w:val="zh-CN"/>
        </w:rPr>
        <w:t>一、投标人须知前附表</w:t>
      </w:r>
      <w:bookmarkEnd w:id="5"/>
      <w:bookmarkEnd w:id="6"/>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754"/>
        <w:gridCol w:w="68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noWrap w:val="0"/>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项目</w:t>
            </w:r>
          </w:p>
        </w:tc>
        <w:tc>
          <w:tcPr>
            <w:tcW w:w="1754" w:type="dxa"/>
            <w:tcBorders>
              <w:top w:val="doub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内容</w:t>
            </w:r>
          </w:p>
        </w:tc>
        <w:tc>
          <w:tcPr>
            <w:tcW w:w="6895" w:type="dxa"/>
            <w:tcBorders>
              <w:top w:val="double" w:color="auto" w:sz="4" w:space="0"/>
              <w:left w:val="single" w:color="auto" w:sz="4" w:space="0"/>
              <w:bottom w:val="single" w:color="auto" w:sz="4" w:space="0"/>
              <w:right w:val="double" w:color="auto" w:sz="4" w:space="0"/>
            </w:tcBorders>
            <w:noWrap w:val="0"/>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资金来源</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55" w:type="dxa"/>
            <w:vMerge w:val="restart"/>
            <w:tcBorders>
              <w:top w:val="single" w:color="auto" w:sz="4" w:space="0"/>
              <w:left w:val="doub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4</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合格的投标人</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Ansi="宋体"/>
                <w:color w:val="auto"/>
                <w:sz w:val="21"/>
                <w:szCs w:val="21"/>
                <w:highlight w:val="none"/>
                <w:u w:val="single"/>
              </w:rPr>
            </w:pPr>
            <w:r>
              <w:rPr>
                <w:rFonts w:hint="eastAsia" w:hAnsi="宋体"/>
                <w:color w:val="auto"/>
                <w:sz w:val="21"/>
                <w:szCs w:val="21"/>
                <w:highlight w:val="none"/>
                <w:lang w:val="zh-CN"/>
              </w:rPr>
              <w:t>具体要求见本招标文件第一篇投标邀请书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55" w:type="dxa"/>
            <w:vMerge w:val="continue"/>
            <w:tcBorders>
              <w:left w:val="double" w:color="auto" w:sz="4" w:space="0"/>
              <w:right w:val="single" w:color="auto" w:sz="4" w:space="0"/>
            </w:tcBorders>
            <w:noWrap w:val="0"/>
            <w:vAlign w:val="center"/>
          </w:tcPr>
          <w:p>
            <w:pPr>
              <w:spacing w:line="360" w:lineRule="auto"/>
              <w:ind w:left="125"/>
              <w:jc w:val="center"/>
              <w:rPr>
                <w:rFonts w:hAnsi="宋体"/>
                <w:color w:val="auto"/>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关于联合体投标</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ind w:right="-223" w:rightChars="-93"/>
              <w:rPr>
                <w:rFonts w:hint="eastAsia" w:hAnsi="宋体"/>
                <w:color w:val="auto"/>
                <w:sz w:val="21"/>
                <w:szCs w:val="21"/>
                <w:highlight w:val="none"/>
                <w:lang w:val="zh-CN"/>
              </w:rPr>
            </w:pPr>
            <w:r>
              <w:rPr>
                <w:rFonts w:hint="eastAsia" w:hAnsi="宋体"/>
                <w:color w:val="auto"/>
                <w:sz w:val="21"/>
                <w:szCs w:val="21"/>
                <w:highlight w:val="none"/>
                <w:lang w:val="zh-CN"/>
              </w:rPr>
              <w:t>本项目</w:t>
            </w:r>
            <w:r>
              <w:rPr>
                <w:rFonts w:hint="eastAsia" w:hAnsi="宋体"/>
                <w:b/>
                <w:bCs/>
                <w:color w:val="auto"/>
                <w:sz w:val="21"/>
                <w:szCs w:val="21"/>
                <w:highlight w:val="none"/>
                <w:u w:val="single"/>
                <w:lang w:val="zh-CN"/>
              </w:rPr>
              <w:t>不允许</w:t>
            </w:r>
            <w:r>
              <w:rPr>
                <w:rFonts w:hint="eastAsia" w:hAnsi="宋体"/>
                <w:color w:val="auto"/>
                <w:sz w:val="21"/>
                <w:szCs w:val="21"/>
                <w:highlight w:val="none"/>
                <w:lang w:val="zh-CN"/>
              </w:rPr>
              <w:t>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7</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踏勘现场</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招标人不集中组织，由投标人自行踏勘现场。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9</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3" w:rightChars="-18"/>
              <w:rPr>
                <w:rFonts w:hint="eastAsia" w:hAnsi="宋体"/>
                <w:color w:val="auto"/>
                <w:sz w:val="21"/>
                <w:szCs w:val="21"/>
                <w:highlight w:val="none"/>
              </w:rPr>
            </w:pPr>
            <w:r>
              <w:rPr>
                <w:rFonts w:hint="eastAsia" w:hAnsi="宋体"/>
                <w:bCs/>
                <w:color w:val="auto"/>
                <w:sz w:val="21"/>
                <w:szCs w:val="21"/>
                <w:highlight w:val="none"/>
              </w:rPr>
              <w:t>招标信息公告媒体</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color w:val="auto"/>
                <w:sz w:val="21"/>
                <w:szCs w:val="21"/>
                <w:highlight w:val="none"/>
              </w:rPr>
            </w:pPr>
            <w:r>
              <w:rPr>
                <w:rFonts w:hint="eastAsia" w:hAnsi="宋体" w:cs="宋体"/>
                <w:color w:val="auto"/>
                <w:spacing w:val="-6"/>
                <w:kern w:val="28"/>
                <w:sz w:val="21"/>
                <w:szCs w:val="21"/>
                <w:highlight w:val="none"/>
              </w:rPr>
              <w:t>中国招标投标公共服务平台（http://www.cebpubservice.com/）</w:t>
            </w:r>
            <w:r>
              <w:rPr>
                <w:rFonts w:hint="eastAsia" w:hAnsi="宋体"/>
                <w:color w:val="auto"/>
                <w:sz w:val="21"/>
                <w:szCs w:val="21"/>
                <w:highlight w:val="none"/>
              </w:rPr>
              <w:t>、东莞实业投资控股集团有限公司-招标采购栏目（http://www.dgsy.com.cn/）、广东泰通伟业工程咨询有限公司官网-招标采购栏目（http://www.weiyecoltd.com/）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11</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投标文件</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autoSpaceDE/>
              <w:autoSpaceDN/>
              <w:adjustRightInd/>
              <w:spacing w:line="360" w:lineRule="auto"/>
              <w:jc w:val="both"/>
              <w:rPr>
                <w:rFonts w:hint="eastAsia" w:hAnsi="宋体"/>
                <w:color w:val="auto"/>
                <w:sz w:val="21"/>
                <w:szCs w:val="21"/>
                <w:highlight w:val="none"/>
              </w:rPr>
            </w:pPr>
            <w:r>
              <w:rPr>
                <w:rFonts w:hint="eastAsia" w:hAnsi="宋体"/>
                <w:color w:val="auto"/>
                <w:sz w:val="21"/>
                <w:szCs w:val="21"/>
                <w:highlight w:val="none"/>
              </w:rPr>
              <w:t>1.资格证明文件；</w:t>
            </w:r>
          </w:p>
          <w:p>
            <w:pPr>
              <w:autoSpaceDE/>
              <w:autoSpaceDN/>
              <w:adjustRightInd/>
              <w:spacing w:line="360" w:lineRule="auto"/>
              <w:jc w:val="both"/>
              <w:rPr>
                <w:rFonts w:hint="eastAsia" w:hAnsi="宋体"/>
                <w:color w:val="auto"/>
                <w:sz w:val="21"/>
                <w:szCs w:val="21"/>
                <w:highlight w:val="none"/>
              </w:rPr>
            </w:pPr>
            <w:r>
              <w:rPr>
                <w:rFonts w:hint="eastAsia" w:hAnsi="宋体"/>
                <w:color w:val="auto"/>
                <w:sz w:val="21"/>
                <w:szCs w:val="21"/>
                <w:highlight w:val="none"/>
              </w:rPr>
              <w:t>2.投标文件（由价格文件、商务文件、技术文件三部分组成；</w:t>
            </w:r>
            <w:r>
              <w:rPr>
                <w:rFonts w:hint="eastAsia" w:hAnsi="宋体"/>
                <w:b/>
                <w:bCs/>
                <w:color w:val="auto"/>
                <w:sz w:val="21"/>
                <w:szCs w:val="21"/>
                <w:highlight w:val="none"/>
              </w:rPr>
              <w:t>其中价格文件单独装订，商务文件和技术文件两个部分内容可合编成一本</w:t>
            </w:r>
            <w:r>
              <w:rPr>
                <w:rFonts w:hint="eastAsia" w:hAnsi="宋体"/>
                <w:color w:val="auto"/>
                <w:sz w:val="21"/>
                <w:szCs w:val="21"/>
                <w:highlight w:val="none"/>
              </w:rPr>
              <w:t>）；</w:t>
            </w:r>
          </w:p>
          <w:p>
            <w:pPr>
              <w:autoSpaceDE/>
              <w:autoSpaceDN/>
              <w:adjustRightInd/>
              <w:spacing w:line="360" w:lineRule="auto"/>
              <w:jc w:val="both"/>
              <w:rPr>
                <w:rFonts w:hint="eastAsia" w:hAnsi="宋体"/>
                <w:color w:val="auto"/>
                <w:sz w:val="21"/>
                <w:szCs w:val="21"/>
                <w:highlight w:val="none"/>
              </w:rPr>
            </w:pPr>
            <w:r>
              <w:rPr>
                <w:rFonts w:hint="eastAsia" w:hAnsi="宋体"/>
                <w:color w:val="auto"/>
                <w:sz w:val="21"/>
                <w:szCs w:val="21"/>
                <w:highlight w:val="none"/>
              </w:rPr>
              <w:t>3.唱标信封。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12</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投标报价</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1、采用填报工程造价咨询服务收费系数的方式。</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 xml:space="preserve">2、工程造价咨询服务收费系数的有效区间：工程造价咨询服务收费系数≤ </w:t>
            </w:r>
            <w:r>
              <w:rPr>
                <w:rFonts w:hAnsi="宋体"/>
                <w:color w:val="auto"/>
                <w:kern w:val="2"/>
                <w:sz w:val="21"/>
                <w:szCs w:val="21"/>
                <w:highlight w:val="none"/>
                <w:lang w:val="zh-CN"/>
              </w:rPr>
              <w:t>0.72</w:t>
            </w:r>
            <w:r>
              <w:rPr>
                <w:rFonts w:hint="eastAsia" w:hAnsi="宋体"/>
                <w:color w:val="auto"/>
                <w:kern w:val="2"/>
                <w:sz w:val="21"/>
                <w:szCs w:val="21"/>
                <w:highlight w:val="none"/>
                <w:lang w:val="zh-CN"/>
              </w:rPr>
              <w:t xml:space="preserve"> ，投标人在投标函填报的工程造价咨询服务收费系数必须在上述有效区间内，否则其投标文件作无效投标文件处理。</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3、本项目工程造价咨询服务费最高限价为人民币</w:t>
            </w:r>
            <w:r>
              <w:rPr>
                <w:rFonts w:hint="eastAsia" w:hAnsi="宋体"/>
                <w:color w:val="auto"/>
                <w:kern w:val="2"/>
                <w:sz w:val="21"/>
                <w:szCs w:val="21"/>
                <w:highlight w:val="none"/>
                <w:u w:val="single"/>
                <w:lang w:val="zh-CN"/>
              </w:rPr>
              <w:t xml:space="preserve"> 1570820.21</w:t>
            </w:r>
            <w:r>
              <w:rPr>
                <w:rFonts w:hint="eastAsia" w:hAnsi="宋体"/>
                <w:color w:val="auto"/>
                <w:kern w:val="2"/>
                <w:sz w:val="21"/>
                <w:szCs w:val="21"/>
                <w:highlight w:val="none"/>
                <w:lang w:val="zh-CN"/>
              </w:rPr>
              <w:t>元。(按本项目工程建安费暂定</w:t>
            </w:r>
            <w:r>
              <w:rPr>
                <w:rFonts w:hint="eastAsia" w:hAnsi="宋体"/>
                <w:color w:val="auto"/>
                <w:kern w:val="2"/>
                <w:sz w:val="21"/>
                <w:szCs w:val="21"/>
                <w:highlight w:val="none"/>
                <w:u w:val="single"/>
                <w:lang w:val="zh-CN"/>
              </w:rPr>
              <w:t>93498.8920</w:t>
            </w:r>
            <w:r>
              <w:rPr>
                <w:rFonts w:hint="eastAsia" w:hAnsi="宋体"/>
                <w:color w:val="auto"/>
                <w:kern w:val="2"/>
                <w:sz w:val="21"/>
                <w:szCs w:val="21"/>
                <w:highlight w:val="none"/>
                <w:lang w:val="zh-CN"/>
              </w:rPr>
              <w:t>万元，根据合同附件4的计费标准计算的费用为</w:t>
            </w:r>
            <w:r>
              <w:rPr>
                <w:rFonts w:hint="eastAsia" w:hAnsi="宋体"/>
                <w:color w:val="auto"/>
                <w:kern w:val="2"/>
                <w:sz w:val="21"/>
                <w:szCs w:val="21"/>
                <w:highlight w:val="none"/>
                <w:u w:val="single"/>
                <w:lang w:val="zh-CN"/>
              </w:rPr>
              <w:tab/>
            </w:r>
            <w:r>
              <w:rPr>
                <w:rFonts w:hint="eastAsia" w:hAnsi="宋体"/>
                <w:color w:val="auto"/>
                <w:kern w:val="2"/>
                <w:sz w:val="21"/>
                <w:szCs w:val="21"/>
                <w:highlight w:val="none"/>
                <w:u w:val="single"/>
                <w:lang w:val="zh-CN"/>
              </w:rPr>
              <w:t xml:space="preserve">2181694.74 </w:t>
            </w:r>
            <w:r>
              <w:rPr>
                <w:rFonts w:hint="eastAsia" w:hAnsi="宋体"/>
                <w:color w:val="auto"/>
                <w:kern w:val="2"/>
                <w:sz w:val="21"/>
                <w:szCs w:val="21"/>
                <w:highlight w:val="none"/>
                <w:lang w:val="zh-CN"/>
              </w:rPr>
              <w:t>元后打</w:t>
            </w:r>
            <w:r>
              <w:rPr>
                <w:rFonts w:hAnsi="宋体"/>
                <w:color w:val="auto"/>
                <w:kern w:val="2"/>
                <w:sz w:val="21"/>
                <w:szCs w:val="21"/>
                <w:highlight w:val="none"/>
                <w:lang w:val="zh-CN"/>
              </w:rPr>
              <w:t>7.2</w:t>
            </w:r>
            <w:r>
              <w:rPr>
                <w:rFonts w:hint="eastAsia" w:hAnsi="宋体"/>
                <w:color w:val="auto"/>
                <w:kern w:val="2"/>
                <w:sz w:val="21"/>
                <w:szCs w:val="21"/>
                <w:highlight w:val="none"/>
                <w:lang w:val="zh-CN"/>
              </w:rPr>
              <w:t>折计算作为最高限价)。</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注：</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 xml:space="preserve">①本工程按计费标准折后计算费用，投标报价中已包括人工费、仪器仪具使用费、办公费、住宿费、交通费、税金、保险、利润等所有一切费用。 </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②本项目工程建安费暂定约</w:t>
            </w:r>
            <w:r>
              <w:rPr>
                <w:rFonts w:hint="eastAsia" w:hAnsi="宋体"/>
                <w:color w:val="auto"/>
                <w:kern w:val="2"/>
                <w:sz w:val="21"/>
                <w:szCs w:val="21"/>
                <w:highlight w:val="none"/>
                <w:u w:val="single"/>
                <w:lang w:val="zh-CN"/>
              </w:rPr>
              <w:t>93498.8920</w:t>
            </w:r>
            <w:r>
              <w:rPr>
                <w:rFonts w:hint="eastAsia" w:hAnsi="宋体"/>
                <w:color w:val="auto"/>
                <w:kern w:val="2"/>
                <w:sz w:val="21"/>
                <w:szCs w:val="21"/>
                <w:highlight w:val="none"/>
                <w:lang w:val="zh-CN"/>
              </w:rPr>
              <w:t>万元。</w:t>
            </w:r>
          </w:p>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③合同暂定价为：</w:t>
            </w:r>
            <w:r>
              <w:rPr>
                <w:rFonts w:hint="eastAsia" w:hAnsi="宋体"/>
                <w:color w:val="auto"/>
                <w:kern w:val="2"/>
                <w:sz w:val="21"/>
                <w:szCs w:val="21"/>
                <w:highlight w:val="none"/>
                <w:u w:val="single"/>
                <w:lang w:val="zh-CN"/>
              </w:rPr>
              <w:t xml:space="preserve">2181694.74 </w:t>
            </w:r>
            <w:r>
              <w:rPr>
                <w:rFonts w:hint="eastAsia" w:hAnsi="宋体"/>
                <w:color w:val="auto"/>
                <w:kern w:val="2"/>
                <w:sz w:val="21"/>
                <w:szCs w:val="21"/>
                <w:highlight w:val="none"/>
                <w:lang w:val="zh-CN"/>
              </w:rPr>
              <w:t>元×中标人的工程造价咨询服务收费系数。最终工程造价咨询费以审定的施工图预算费按第四章合同附件4的计费标准计算的费用乘以中标人的工程造价咨询服务收费系数的结算。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15</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投标保证金</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autoSpaceDE/>
              <w:autoSpaceDN/>
              <w:adjustRightInd/>
              <w:spacing w:line="360" w:lineRule="auto"/>
              <w:jc w:val="both"/>
              <w:rPr>
                <w:rFonts w:hint="eastAsia" w:hAnsi="宋体"/>
                <w:b/>
                <w:color w:val="auto"/>
                <w:sz w:val="21"/>
                <w:szCs w:val="21"/>
                <w:highlight w:val="none"/>
              </w:rPr>
            </w:pPr>
            <w:r>
              <w:rPr>
                <w:rFonts w:hint="eastAsia" w:hAnsi="宋体"/>
                <w:b/>
                <w:color w:val="auto"/>
                <w:sz w:val="21"/>
                <w:szCs w:val="21"/>
                <w:highlight w:val="none"/>
              </w:rPr>
              <w:t>投标人须提交一份投标保证金，金额为</w:t>
            </w:r>
            <w:r>
              <w:rPr>
                <w:rFonts w:hint="eastAsia" w:hAnsi="宋体"/>
                <w:color w:val="auto"/>
                <w:kern w:val="2"/>
                <w:sz w:val="21"/>
                <w:szCs w:val="21"/>
                <w:highlight w:val="none"/>
                <w:u w:val="single"/>
              </w:rPr>
              <w:t xml:space="preserve"> 30000.00 </w:t>
            </w:r>
            <w:r>
              <w:rPr>
                <w:rFonts w:hint="eastAsia" w:hAnsi="宋体"/>
                <w:b/>
                <w:color w:val="auto"/>
                <w:sz w:val="21"/>
                <w:szCs w:val="21"/>
                <w:highlight w:val="none"/>
              </w:rPr>
              <w:t>元</w:t>
            </w:r>
          </w:p>
          <w:p>
            <w:pPr>
              <w:autoSpaceDE/>
              <w:autoSpaceDN/>
              <w:adjustRightInd/>
              <w:spacing w:line="360" w:lineRule="auto"/>
              <w:jc w:val="both"/>
              <w:rPr>
                <w:rFonts w:hint="eastAsia" w:hAnsi="宋体"/>
                <w:b/>
                <w:color w:val="auto"/>
                <w:sz w:val="21"/>
                <w:szCs w:val="21"/>
                <w:highlight w:val="none"/>
              </w:rPr>
            </w:pPr>
            <w:r>
              <w:rPr>
                <w:rFonts w:hint="eastAsia" w:hAnsi="宋体"/>
                <w:b/>
                <w:color w:val="auto"/>
                <w:sz w:val="21"/>
                <w:szCs w:val="21"/>
                <w:highlight w:val="none"/>
              </w:rPr>
              <w:t>提交保证金时应符合下列规定：</w:t>
            </w:r>
          </w:p>
          <w:p>
            <w:pPr>
              <w:tabs>
                <w:tab w:val="left" w:pos="567"/>
              </w:tabs>
              <w:spacing w:line="360" w:lineRule="auto"/>
              <w:ind w:firstLine="420" w:firstLineChars="200"/>
              <w:jc w:val="both"/>
              <w:rPr>
                <w:rFonts w:hAnsi="宋体"/>
                <w:color w:val="auto"/>
                <w:kern w:val="2"/>
                <w:sz w:val="21"/>
                <w:szCs w:val="21"/>
                <w:highlight w:val="none"/>
                <w:lang w:val="zh-CN"/>
              </w:rPr>
            </w:pPr>
            <w:r>
              <w:rPr>
                <w:rFonts w:hint="eastAsia" w:hAnsi="宋体"/>
                <w:color w:val="auto"/>
                <w:kern w:val="2"/>
                <w:sz w:val="21"/>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投标保证金专用账户如下：</w:t>
            </w:r>
          </w:p>
          <w:p>
            <w:pPr>
              <w:tabs>
                <w:tab w:val="left" w:pos="567"/>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账户名称：广东泰通伟业工程咨询有限公司</w:t>
            </w:r>
          </w:p>
          <w:p>
            <w:pPr>
              <w:tabs>
                <w:tab w:val="left" w:pos="567"/>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账号：6232590699050035698</w:t>
            </w:r>
          </w:p>
          <w:p>
            <w:pPr>
              <w:pStyle w:val="82"/>
              <w:widowControl/>
              <w:spacing w:line="360" w:lineRule="auto"/>
              <w:ind w:firstLine="420" w:firstLineChars="200"/>
              <w:jc w:val="left"/>
              <w:rPr>
                <w:rFonts w:hint="eastAsia" w:ascii="宋体" w:eastAsia="宋体" w:cs="宋体"/>
                <w:color w:val="auto"/>
                <w:sz w:val="21"/>
                <w:szCs w:val="21"/>
                <w:highlight w:val="none"/>
                <w:lang w:val="zh-CN"/>
              </w:rPr>
            </w:pPr>
            <w:r>
              <w:rPr>
                <w:rFonts w:hint="eastAsia" w:ascii="宋体" w:eastAsia="宋体"/>
                <w:color w:val="auto"/>
                <w:sz w:val="21"/>
                <w:szCs w:val="21"/>
                <w:highlight w:val="none"/>
                <w:lang w:val="zh-CN"/>
              </w:rPr>
              <w:t>开户行：广发银行股份有限公司东莞东翔支行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16</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kern w:val="2"/>
                <w:sz w:val="21"/>
                <w:szCs w:val="21"/>
                <w:highlight w:val="none"/>
                <w:lang w:val="zh-CN"/>
              </w:rPr>
              <w:t>投标有效期</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autoSpaceDE/>
              <w:autoSpaceDN/>
              <w:adjustRightInd/>
              <w:spacing w:line="360" w:lineRule="auto"/>
              <w:jc w:val="both"/>
              <w:rPr>
                <w:rFonts w:hint="eastAsia" w:hAnsi="宋体"/>
                <w:bCs/>
                <w:color w:val="auto"/>
                <w:sz w:val="21"/>
                <w:szCs w:val="21"/>
                <w:highlight w:val="none"/>
              </w:rPr>
            </w:pPr>
            <w:r>
              <w:rPr>
                <w:rFonts w:hint="eastAsia" w:hAnsi="宋体"/>
                <w:bCs/>
                <w:color w:val="auto"/>
                <w:kern w:val="2"/>
                <w:sz w:val="21"/>
                <w:szCs w:val="21"/>
                <w:highlight w:val="none"/>
                <w:lang w:val="zh-CN"/>
              </w:rPr>
              <w:t>递交投标文件截止日后90日内有效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17</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auto"/>
                <w:kern w:val="2"/>
                <w:sz w:val="21"/>
                <w:szCs w:val="21"/>
                <w:highlight w:val="none"/>
                <w:lang w:val="zh-CN"/>
              </w:rPr>
            </w:pPr>
            <w:r>
              <w:rPr>
                <w:rFonts w:hint="eastAsia" w:hAnsi="宋体"/>
                <w:color w:val="auto"/>
                <w:kern w:val="2"/>
                <w:sz w:val="21"/>
                <w:szCs w:val="21"/>
                <w:highlight w:val="none"/>
                <w:lang w:val="zh-CN"/>
              </w:rPr>
              <w:t>投标文件份数</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autoSpaceDE/>
              <w:autoSpaceDN/>
              <w:adjustRightInd/>
              <w:spacing w:line="360" w:lineRule="auto"/>
              <w:jc w:val="both"/>
              <w:rPr>
                <w:rFonts w:hint="eastAsia" w:hAnsi="宋体"/>
                <w:color w:val="auto"/>
                <w:sz w:val="21"/>
                <w:szCs w:val="21"/>
                <w:highlight w:val="none"/>
              </w:rPr>
            </w:pPr>
            <w:r>
              <w:rPr>
                <w:rFonts w:hint="eastAsia" w:hAnsi="宋体"/>
                <w:color w:val="auto"/>
                <w:sz w:val="21"/>
                <w:szCs w:val="21"/>
                <w:highlight w:val="none"/>
              </w:rPr>
              <w:t>1、资格证明文件包封为1包（内含资格证明文件1份）；</w:t>
            </w:r>
          </w:p>
          <w:p>
            <w:pPr>
              <w:autoSpaceDE/>
              <w:autoSpaceDN/>
              <w:adjustRightInd/>
              <w:spacing w:line="360" w:lineRule="auto"/>
              <w:jc w:val="both"/>
              <w:rPr>
                <w:rFonts w:hint="eastAsia" w:hAnsi="宋体"/>
                <w:color w:val="auto"/>
                <w:sz w:val="21"/>
                <w:szCs w:val="21"/>
                <w:highlight w:val="none"/>
              </w:rPr>
            </w:pPr>
            <w:r>
              <w:rPr>
                <w:rFonts w:hint="eastAsia" w:hAnsi="宋体"/>
                <w:color w:val="auto"/>
                <w:sz w:val="21"/>
                <w:szCs w:val="21"/>
                <w:highlight w:val="none"/>
              </w:rPr>
              <w:t>2、投标文件密封包封为1包（内含正本1套，副本</w:t>
            </w:r>
            <w:r>
              <w:rPr>
                <w:rFonts w:hint="eastAsia" w:hAnsi="宋体"/>
                <w:color w:val="auto"/>
                <w:sz w:val="21"/>
                <w:szCs w:val="21"/>
                <w:highlight w:val="none"/>
                <w:u w:val="single"/>
              </w:rPr>
              <w:t>5</w:t>
            </w:r>
            <w:r>
              <w:rPr>
                <w:rFonts w:hint="eastAsia" w:hAnsi="宋体"/>
                <w:color w:val="auto"/>
                <w:sz w:val="21"/>
                <w:szCs w:val="21"/>
                <w:highlight w:val="none"/>
              </w:rPr>
              <w:t>套）；</w:t>
            </w:r>
          </w:p>
          <w:p>
            <w:pPr>
              <w:autoSpaceDE/>
              <w:autoSpaceDN/>
              <w:adjustRightInd/>
              <w:spacing w:line="360" w:lineRule="auto"/>
              <w:jc w:val="both"/>
              <w:rPr>
                <w:rFonts w:hint="eastAsia" w:hAnsi="宋体"/>
                <w:bCs/>
                <w:color w:val="auto"/>
                <w:kern w:val="2"/>
                <w:sz w:val="21"/>
                <w:szCs w:val="21"/>
                <w:highlight w:val="none"/>
                <w:lang w:val="zh-CN"/>
              </w:rPr>
            </w:pPr>
            <w:r>
              <w:rPr>
                <w:rFonts w:hint="eastAsia" w:hAnsi="宋体"/>
                <w:color w:val="auto"/>
                <w:sz w:val="21"/>
                <w:szCs w:val="21"/>
                <w:highlight w:val="none"/>
              </w:rPr>
              <w:t>3、唱标信封密封包封为1包（内含唱标信封1份，投标文件电子文件1份）。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24</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bCs/>
                <w:color w:val="auto"/>
                <w:sz w:val="21"/>
                <w:szCs w:val="21"/>
                <w:highlight w:val="none"/>
              </w:rPr>
            </w:pPr>
            <w:r>
              <w:rPr>
                <w:rFonts w:hint="eastAsia" w:hAnsi="宋体"/>
                <w:bCs/>
                <w:color w:val="auto"/>
                <w:sz w:val="21"/>
                <w:szCs w:val="21"/>
                <w:highlight w:val="none"/>
              </w:rPr>
              <w:t>评标委员会</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评标委员会成员共</w:t>
            </w:r>
            <w:r>
              <w:rPr>
                <w:rFonts w:hint="eastAsia" w:hAnsi="宋体"/>
                <w:color w:val="auto"/>
                <w:sz w:val="21"/>
                <w:szCs w:val="21"/>
                <w:highlight w:val="none"/>
                <w:u w:val="single"/>
              </w:rPr>
              <w:t xml:space="preserve"> 5</w:t>
            </w:r>
            <w:r>
              <w:rPr>
                <w:rFonts w:hint="eastAsia" w:hAnsi="宋体"/>
                <w:color w:val="auto"/>
                <w:sz w:val="21"/>
                <w:szCs w:val="21"/>
                <w:highlight w:val="none"/>
              </w:rPr>
              <w:t>人：</w:t>
            </w:r>
            <w:r>
              <w:rPr>
                <w:rFonts w:hint="eastAsia" w:hAnsi="宋体"/>
                <w:color w:val="auto"/>
                <w:kern w:val="2"/>
                <w:sz w:val="21"/>
                <w:szCs w:val="21"/>
                <w:highlight w:val="none"/>
                <w:lang w:val="zh-CN"/>
              </w:rPr>
              <w:t>其中招标人代表</w:t>
            </w:r>
            <w:r>
              <w:rPr>
                <w:rFonts w:hint="eastAsia" w:hAnsi="宋体"/>
                <w:color w:val="auto"/>
                <w:kern w:val="2"/>
                <w:sz w:val="21"/>
                <w:szCs w:val="21"/>
                <w:highlight w:val="none"/>
                <w:u w:val="single"/>
              </w:rPr>
              <w:t xml:space="preserve"> 1 </w:t>
            </w:r>
            <w:r>
              <w:rPr>
                <w:rFonts w:hint="eastAsia" w:hAnsi="宋体"/>
                <w:color w:val="auto"/>
                <w:kern w:val="2"/>
                <w:sz w:val="21"/>
                <w:szCs w:val="21"/>
                <w:highlight w:val="none"/>
                <w:lang w:val="zh-CN"/>
              </w:rPr>
              <w:t>名；技术、经济等方面的专家</w:t>
            </w:r>
            <w:r>
              <w:rPr>
                <w:rFonts w:hint="eastAsia" w:hAnsi="宋体"/>
                <w:color w:val="auto"/>
                <w:kern w:val="2"/>
                <w:sz w:val="21"/>
                <w:szCs w:val="21"/>
                <w:highlight w:val="none"/>
                <w:u w:val="single"/>
              </w:rPr>
              <w:t xml:space="preserve"> </w:t>
            </w:r>
            <w:r>
              <w:rPr>
                <w:rFonts w:hint="eastAsia" w:hAnsi="宋体"/>
                <w:color w:val="auto"/>
                <w:sz w:val="21"/>
                <w:szCs w:val="21"/>
                <w:highlight w:val="none"/>
                <w:u w:val="single"/>
              </w:rPr>
              <w:t xml:space="preserve">4 </w:t>
            </w:r>
            <w:r>
              <w:rPr>
                <w:rFonts w:hint="eastAsia" w:hAnsi="宋体"/>
                <w:color w:val="auto"/>
                <w:sz w:val="21"/>
                <w:szCs w:val="21"/>
                <w:highlight w:val="none"/>
              </w:rPr>
              <w:t>人</w:t>
            </w:r>
            <w:r>
              <w:rPr>
                <w:rFonts w:hint="eastAsia" w:hAnsi="宋体"/>
                <w:color w:val="auto"/>
                <w:kern w:val="2"/>
                <w:sz w:val="21"/>
                <w:szCs w:val="21"/>
                <w:highlight w:val="none"/>
                <w:lang w:val="zh-CN"/>
              </w:rPr>
              <w:t>从</w:t>
            </w:r>
            <w:r>
              <w:rPr>
                <w:rFonts w:hint="eastAsia" w:hAnsi="宋体" w:cs="宋体"/>
                <w:color w:val="auto"/>
                <w:sz w:val="21"/>
                <w:szCs w:val="21"/>
                <w:highlight w:val="none"/>
              </w:rPr>
              <w:t>评审专家随机抽取系统</w:t>
            </w:r>
            <w:r>
              <w:rPr>
                <w:rFonts w:hint="eastAsia" w:hAnsi="宋体"/>
                <w:color w:val="auto"/>
                <w:sz w:val="21"/>
                <w:szCs w:val="21"/>
                <w:highlight w:val="none"/>
              </w:rPr>
              <w:t>中随机抽取确定。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28</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bCs/>
                <w:color w:val="auto"/>
                <w:sz w:val="21"/>
                <w:szCs w:val="21"/>
                <w:highlight w:val="none"/>
              </w:rPr>
            </w:pPr>
            <w:r>
              <w:rPr>
                <w:rFonts w:hint="eastAsia" w:hAnsi="宋体"/>
                <w:bCs/>
                <w:color w:val="auto"/>
                <w:sz w:val="21"/>
                <w:szCs w:val="21"/>
                <w:highlight w:val="none"/>
              </w:rPr>
              <w:t>评标方法</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5" w:type="dxa"/>
            <w:tcBorders>
              <w:top w:val="single" w:color="auto" w:sz="4" w:space="0"/>
              <w:left w:val="double" w:color="auto" w:sz="4" w:space="0"/>
              <w:bottom w:val="single" w:color="auto" w:sz="4" w:space="0"/>
              <w:right w:val="single" w:color="auto" w:sz="4" w:space="0"/>
            </w:tcBorders>
            <w:noWrap w:val="0"/>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29</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43" w:rightChars="-18"/>
              <w:rPr>
                <w:rFonts w:hint="eastAsia" w:hAnsi="宋体"/>
                <w:bCs/>
                <w:color w:val="auto"/>
                <w:sz w:val="21"/>
                <w:szCs w:val="21"/>
                <w:highlight w:val="none"/>
              </w:rPr>
            </w:pPr>
            <w:r>
              <w:rPr>
                <w:rFonts w:hint="eastAsia" w:hAnsi="宋体"/>
                <w:bCs/>
                <w:color w:val="auto"/>
                <w:sz w:val="21"/>
                <w:szCs w:val="21"/>
                <w:highlight w:val="none"/>
              </w:rPr>
              <w:t>履约担保</w:t>
            </w:r>
          </w:p>
        </w:tc>
        <w:tc>
          <w:tcPr>
            <w:tcW w:w="6895" w:type="dxa"/>
            <w:tcBorders>
              <w:top w:val="single" w:color="auto" w:sz="4" w:space="0"/>
              <w:left w:val="single" w:color="auto" w:sz="4" w:space="0"/>
              <w:bottom w:val="single" w:color="auto" w:sz="4" w:space="0"/>
              <w:right w:val="double" w:color="auto" w:sz="4" w:space="0"/>
            </w:tcBorders>
            <w:noWrap w:val="0"/>
            <w:vAlign w:val="center"/>
          </w:tcPr>
          <w:p>
            <w:pPr>
              <w:spacing w:line="360" w:lineRule="auto"/>
              <w:rPr>
                <w:rFonts w:hint="eastAsia" w:hAnsi="宋体"/>
                <w:bCs/>
                <w:color w:val="auto"/>
                <w:sz w:val="21"/>
                <w:szCs w:val="21"/>
                <w:highlight w:val="none"/>
              </w:rPr>
            </w:pPr>
            <w:r>
              <w:rPr>
                <w:rFonts w:hint="eastAsia" w:hAnsi="宋体"/>
                <w:bCs/>
                <w:color w:val="auto"/>
                <w:sz w:val="21"/>
                <w:szCs w:val="21"/>
                <w:highlight w:val="none"/>
              </w:rPr>
              <w:t>履约担保金额</w:t>
            </w:r>
            <w:r>
              <w:rPr>
                <w:rFonts w:hint="eastAsia" w:hAnsi="宋体"/>
                <w:b/>
                <w:bCs/>
                <w:color w:val="auto"/>
                <w:sz w:val="21"/>
                <w:szCs w:val="21"/>
                <w:highlight w:val="none"/>
              </w:rPr>
              <w:t>：</w:t>
            </w:r>
            <w:r>
              <w:rPr>
                <w:rFonts w:hint="eastAsia" w:hAnsi="宋体"/>
                <w:color w:val="auto"/>
                <w:sz w:val="21"/>
                <w:szCs w:val="21"/>
                <w:highlight w:val="none"/>
              </w:rPr>
              <w:t>合同咨询酬金暂定价款的10%</w:t>
            </w:r>
            <w:r>
              <w:rPr>
                <w:rFonts w:hint="eastAsia" w:hAnsi="宋体"/>
                <w:bCs/>
                <w:color w:val="auto"/>
                <w:sz w:val="21"/>
                <w:szCs w:val="21"/>
                <w:highlight w:val="none"/>
              </w:rPr>
              <w:t>。</w:t>
            </w:r>
          </w:p>
          <w:p>
            <w:pPr>
              <w:spacing w:line="360" w:lineRule="auto"/>
              <w:rPr>
                <w:rFonts w:hint="eastAsia" w:hAnsi="宋体"/>
                <w:color w:val="auto"/>
                <w:sz w:val="21"/>
                <w:szCs w:val="21"/>
                <w:highlight w:val="none"/>
              </w:rPr>
            </w:pPr>
            <w:r>
              <w:rPr>
                <w:rFonts w:hint="eastAsia" w:hAnsi="宋体"/>
                <w:bCs/>
                <w:color w:val="auto"/>
                <w:sz w:val="21"/>
                <w:szCs w:val="21"/>
                <w:highlight w:val="none"/>
              </w:rPr>
              <w:t>履约保证金账户：招标人指定账户(单位基本账户)</w:t>
            </w:r>
          </w:p>
        </w:tc>
      </w:tr>
    </w:tbl>
    <w:p>
      <w:pPr>
        <w:rPr>
          <w:rFonts w:hint="eastAsia"/>
          <w:color w:val="auto"/>
          <w:highlight w:val="none"/>
          <w:lang w:val="zh-CN"/>
        </w:rPr>
      </w:pPr>
      <w:bookmarkStart w:id="7" w:name="_Toc12149"/>
      <w:bookmarkStart w:id="8" w:name="_Toc396137232"/>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pStyle w:val="2"/>
        <w:numPr>
          <w:ilvl w:val="0"/>
          <w:numId w:val="13"/>
        </w:numPr>
        <w:rPr>
          <w:rFonts w:hint="eastAsia"/>
          <w:color w:val="auto"/>
          <w:highlight w:val="none"/>
          <w:lang w:val="zh-CN"/>
        </w:rPr>
      </w:pPr>
      <w:r>
        <w:rPr>
          <w:rFonts w:hint="eastAsia"/>
          <w:color w:val="auto"/>
          <w:highlight w:val="none"/>
          <w:lang w:val="zh-CN"/>
        </w:rPr>
        <w:t>投标人须知</w:t>
      </w:r>
      <w:bookmarkEnd w:id="7"/>
      <w:bookmarkEnd w:id="8"/>
    </w:p>
    <w:p>
      <w:pPr>
        <w:rPr>
          <w:color w:val="auto"/>
          <w:highlight w:val="none"/>
          <w:lang w:val="zh-CN"/>
        </w:rPr>
      </w:pPr>
    </w:p>
    <w:p>
      <w:pPr>
        <w:pStyle w:val="4"/>
        <w:spacing w:line="360" w:lineRule="auto"/>
        <w:rPr>
          <w:rFonts w:hAnsi="宋体"/>
          <w:b/>
          <w:bCs/>
          <w:color w:val="auto"/>
          <w:kern w:val="44"/>
          <w:sz w:val="21"/>
          <w:szCs w:val="21"/>
          <w:highlight w:val="none"/>
          <w:lang w:val="zh-CN"/>
        </w:rPr>
      </w:pPr>
      <w:bookmarkStart w:id="9" w:name="_Toc6890"/>
      <w:bookmarkStart w:id="10" w:name="_Toc396137233"/>
      <w:r>
        <w:rPr>
          <w:rFonts w:hint="eastAsia" w:hAnsi="宋体"/>
          <w:b/>
          <w:bCs/>
          <w:color w:val="auto"/>
          <w:kern w:val="44"/>
          <w:sz w:val="21"/>
          <w:szCs w:val="21"/>
          <w:highlight w:val="none"/>
          <w:lang w:val="zh-CN"/>
        </w:rPr>
        <w:t>（一）总则</w:t>
      </w:r>
      <w:bookmarkEnd w:id="9"/>
      <w:bookmarkEnd w:id="10"/>
    </w:p>
    <w:p>
      <w:pPr>
        <w:tabs>
          <w:tab w:val="left" w:pos="567"/>
        </w:tabs>
        <w:spacing w:line="360" w:lineRule="auto"/>
        <w:ind w:left="567" w:hanging="567"/>
        <w:jc w:val="both"/>
        <w:rPr>
          <w:rFonts w:hint="eastAsia" w:hAnsi="宋体"/>
          <w:color w:val="auto"/>
          <w:sz w:val="21"/>
          <w:szCs w:val="21"/>
          <w:highlight w:val="none"/>
        </w:rPr>
      </w:pPr>
      <w:r>
        <w:rPr>
          <w:rFonts w:hAnsi="宋体"/>
          <w:color w:val="auto"/>
          <w:kern w:val="2"/>
          <w:sz w:val="21"/>
          <w:szCs w:val="21"/>
          <w:highlight w:val="none"/>
          <w:lang w:val="zh-CN"/>
        </w:rPr>
        <w:t>1</w:t>
      </w:r>
      <w:r>
        <w:rPr>
          <w:rFonts w:hAnsi="宋体"/>
          <w:color w:val="auto"/>
          <w:kern w:val="2"/>
          <w:sz w:val="21"/>
          <w:szCs w:val="21"/>
          <w:highlight w:val="none"/>
          <w:lang w:val="zh-CN"/>
        </w:rPr>
        <w:tab/>
      </w:r>
      <w:r>
        <w:rPr>
          <w:rFonts w:hint="eastAsia" w:hAnsi="宋体"/>
          <w:color w:val="auto"/>
          <w:kern w:val="2"/>
          <w:sz w:val="21"/>
          <w:szCs w:val="21"/>
          <w:highlight w:val="none"/>
          <w:lang w:val="zh-CN"/>
        </w:rPr>
        <w:t>资金来源：详见</w:t>
      </w:r>
      <w:r>
        <w:rPr>
          <w:rFonts w:hint="eastAsia" w:hAnsi="宋体"/>
          <w:color w:val="auto"/>
          <w:sz w:val="21"/>
          <w:szCs w:val="21"/>
          <w:highlight w:val="none"/>
        </w:rPr>
        <w:t>《投标人须知前附表》。</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    招标</w:t>
      </w:r>
      <w:r>
        <w:rPr>
          <w:rFonts w:hAnsi="宋体"/>
          <w:color w:val="auto"/>
          <w:kern w:val="2"/>
          <w:sz w:val="21"/>
          <w:szCs w:val="21"/>
          <w:highlight w:val="none"/>
          <w:lang w:val="zh-CN"/>
        </w:rPr>
        <w:t>适用范围</w:t>
      </w:r>
      <w:r>
        <w:rPr>
          <w:rFonts w:hint="eastAsia" w:hAnsi="宋体"/>
          <w:color w:val="auto"/>
          <w:kern w:val="2"/>
          <w:sz w:val="21"/>
          <w:szCs w:val="21"/>
          <w:highlight w:val="none"/>
          <w:lang w:val="zh-CN"/>
        </w:rPr>
        <w:t>：本招标文件仅适用于本次投标邀请书中所叙述的服务招标。本次招标采用一次报价一次评标定标的方式，投标人的报价必须固定，且只能作一个最有竞争力的报价和方案，否则将作无效投标处理。</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    招标参照东莞市旗美投资发展有限公司相关招标规定执行。</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4</w:t>
      </w:r>
      <w:r>
        <w:rPr>
          <w:rFonts w:hAnsi="宋体"/>
          <w:color w:val="auto"/>
          <w:kern w:val="2"/>
          <w:sz w:val="21"/>
          <w:szCs w:val="21"/>
          <w:highlight w:val="none"/>
          <w:lang w:val="zh-CN"/>
        </w:rPr>
        <w:tab/>
      </w:r>
      <w:r>
        <w:rPr>
          <w:rFonts w:hint="eastAsia" w:hAnsi="宋体"/>
          <w:color w:val="auto"/>
          <w:kern w:val="2"/>
          <w:sz w:val="21"/>
          <w:szCs w:val="21"/>
          <w:highlight w:val="none"/>
          <w:lang w:val="zh-CN"/>
        </w:rPr>
        <w:t>合格的投标人</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4</w:t>
      </w:r>
      <w:r>
        <w:rPr>
          <w:rFonts w:hAnsi="宋体"/>
          <w:color w:val="auto"/>
          <w:kern w:val="2"/>
          <w:sz w:val="21"/>
          <w:szCs w:val="21"/>
          <w:highlight w:val="none"/>
          <w:lang w:val="zh-CN"/>
        </w:rPr>
        <w:t>.1</w:t>
      </w:r>
      <w:r>
        <w:rPr>
          <w:rFonts w:hAnsi="宋体"/>
          <w:color w:val="auto"/>
          <w:kern w:val="2"/>
          <w:sz w:val="21"/>
          <w:szCs w:val="21"/>
          <w:highlight w:val="none"/>
          <w:lang w:val="zh-CN"/>
        </w:rPr>
        <w:tab/>
      </w:r>
      <w:r>
        <w:rPr>
          <w:rFonts w:hint="eastAsia" w:hAnsi="宋体"/>
          <w:color w:val="auto"/>
          <w:kern w:val="2"/>
          <w:sz w:val="21"/>
          <w:szCs w:val="21"/>
          <w:highlight w:val="none"/>
          <w:lang w:val="zh-CN"/>
        </w:rPr>
        <w:t>合格投标人的条件详</w:t>
      </w:r>
      <w:r>
        <w:rPr>
          <w:rFonts w:hint="eastAsia" w:hAnsi="宋体"/>
          <w:color w:val="auto"/>
          <w:sz w:val="21"/>
          <w:szCs w:val="21"/>
          <w:highlight w:val="none"/>
          <w:lang w:val="zh-CN"/>
        </w:rPr>
        <w:t>见本招标文件第一篇投标邀请书</w:t>
      </w:r>
      <w:r>
        <w:rPr>
          <w:rFonts w:hint="eastAsia" w:hAnsi="宋体"/>
          <w:color w:val="auto"/>
          <w:kern w:val="2"/>
          <w:sz w:val="21"/>
          <w:szCs w:val="21"/>
          <w:highlight w:val="none"/>
          <w:lang w:val="zh-CN"/>
        </w:rPr>
        <w:t>。</w:t>
      </w:r>
    </w:p>
    <w:p>
      <w:pPr>
        <w:tabs>
          <w:tab w:val="left" w:pos="567"/>
        </w:tabs>
        <w:spacing w:line="360" w:lineRule="auto"/>
        <w:ind w:left="567" w:hanging="567"/>
        <w:jc w:val="both"/>
        <w:rPr>
          <w:rFonts w:hint="eastAsia" w:hAnsi="宋体"/>
          <w:color w:val="auto"/>
          <w:sz w:val="21"/>
          <w:szCs w:val="21"/>
          <w:highlight w:val="none"/>
          <w:lang w:val="zh-CN"/>
        </w:rPr>
      </w:pPr>
      <w:r>
        <w:rPr>
          <w:rFonts w:hint="eastAsia" w:hAnsi="宋体"/>
          <w:color w:val="auto"/>
          <w:kern w:val="2"/>
          <w:sz w:val="21"/>
          <w:szCs w:val="21"/>
          <w:highlight w:val="none"/>
          <w:lang w:val="zh-CN"/>
        </w:rPr>
        <w:t>4</w:t>
      </w:r>
      <w:r>
        <w:rPr>
          <w:rFonts w:hAnsi="宋体"/>
          <w:color w:val="auto"/>
          <w:kern w:val="2"/>
          <w:sz w:val="21"/>
          <w:szCs w:val="21"/>
          <w:highlight w:val="none"/>
          <w:lang w:val="zh-CN"/>
        </w:rPr>
        <w:t>.</w:t>
      </w:r>
      <w:r>
        <w:rPr>
          <w:rFonts w:hint="eastAsia" w:hAnsi="宋体"/>
          <w:color w:val="auto"/>
          <w:kern w:val="2"/>
          <w:sz w:val="21"/>
          <w:szCs w:val="21"/>
          <w:highlight w:val="none"/>
          <w:lang w:val="zh-CN"/>
        </w:rPr>
        <w:t>2</w:t>
      </w:r>
      <w:r>
        <w:rPr>
          <w:rFonts w:hAnsi="宋体"/>
          <w:color w:val="auto"/>
          <w:kern w:val="2"/>
          <w:sz w:val="21"/>
          <w:szCs w:val="21"/>
          <w:highlight w:val="none"/>
          <w:lang w:val="zh-CN"/>
        </w:rPr>
        <w:tab/>
      </w:r>
      <w:r>
        <w:rPr>
          <w:rFonts w:hint="eastAsia" w:hAnsi="宋体"/>
          <w:color w:val="auto"/>
          <w:sz w:val="21"/>
          <w:szCs w:val="21"/>
          <w:highlight w:val="none"/>
          <w:lang w:val="zh-CN"/>
        </w:rPr>
        <w:t>本项目</w:t>
      </w:r>
      <w:r>
        <w:rPr>
          <w:rFonts w:hint="eastAsia" w:hAnsi="宋体"/>
          <w:b/>
          <w:bCs/>
          <w:color w:val="auto"/>
          <w:sz w:val="21"/>
          <w:szCs w:val="21"/>
          <w:highlight w:val="none"/>
          <w:u w:val="single"/>
          <w:lang w:val="zh-CN"/>
        </w:rPr>
        <w:t>不允许</w:t>
      </w:r>
      <w:r>
        <w:rPr>
          <w:rFonts w:hint="eastAsia" w:hAnsi="宋体"/>
          <w:color w:val="auto"/>
          <w:sz w:val="21"/>
          <w:szCs w:val="21"/>
          <w:highlight w:val="none"/>
          <w:lang w:val="zh-CN"/>
        </w:rPr>
        <w:t>联合体投标。</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5</w:t>
      </w:r>
      <w:r>
        <w:rPr>
          <w:rFonts w:hAnsi="宋体"/>
          <w:color w:val="auto"/>
          <w:kern w:val="2"/>
          <w:sz w:val="21"/>
          <w:szCs w:val="21"/>
          <w:highlight w:val="none"/>
          <w:lang w:val="zh-CN"/>
        </w:rPr>
        <w:tab/>
      </w:r>
      <w:r>
        <w:rPr>
          <w:rFonts w:hint="eastAsia" w:hAnsi="宋体"/>
          <w:color w:val="auto"/>
          <w:kern w:val="2"/>
          <w:sz w:val="21"/>
          <w:szCs w:val="21"/>
          <w:highlight w:val="none"/>
          <w:lang w:val="zh-CN"/>
        </w:rPr>
        <w:t>纪律与保密事项</w:t>
      </w:r>
    </w:p>
    <w:p>
      <w:pPr>
        <w:autoSpaceDE/>
        <w:autoSpaceDN/>
        <w:adjustRightInd/>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5.1  投标人不得相互串通投标报价，或以不正当的手段妨碍、排挤其他投标人，扰乱招标市场，破坏公平竞争原则，不得损害招标人或其他投标人的合法权益，投标人不得以向招标人、评标委员会成员行贿或者采取其他不正当手段谋取中标。</w:t>
      </w:r>
    </w:p>
    <w:p>
      <w:pPr>
        <w:autoSpaceDE/>
        <w:autoSpaceDN/>
        <w:adjustRightInd/>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5.2  获得本招标文件者，应对文件进行保密，不得用作本次投标以外的任何用途。若有要求，开标后，投标人应归还招标文件中保密的文件和资料。</w:t>
      </w:r>
    </w:p>
    <w:p>
      <w:pPr>
        <w:tabs>
          <w:tab w:val="left" w:pos="720"/>
          <w:tab w:val="left" w:pos="3460"/>
        </w:tabs>
        <w:autoSpaceDE/>
        <w:autoSpaceDN/>
        <w:adjustRightInd/>
        <w:spacing w:line="360" w:lineRule="auto"/>
        <w:ind w:left="525"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5.3  由招标人向投标人提供的图纸、详细资料、样品、模型、模件和所有其他资料，被视为保密资料，仅被用于它所规定的用途。除非得到招标人的同意，不能向任何第三方透露。开标结束后，应招标人要求，投标人应归还所有从招标人处获得的保密资料。</w:t>
      </w:r>
    </w:p>
    <w:p>
      <w:pPr>
        <w:tabs>
          <w:tab w:val="left" w:pos="720"/>
          <w:tab w:val="left" w:pos="3460"/>
        </w:tabs>
        <w:autoSpaceDE/>
        <w:autoSpaceDN/>
        <w:adjustRightInd/>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5.4  除投标人被要求对投标文件进行澄清外，在确定中标人之前，投标人不得与招标人就投标价格、投标方案等实质性内容进行谈判，也不得私下接触评标委员会成员。</w:t>
      </w:r>
    </w:p>
    <w:p>
      <w:pPr>
        <w:autoSpaceDE/>
        <w:autoSpaceDN/>
        <w:adjustRightInd/>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5.5  从递交投标文件截止之日起至授予合同期间，在投标文件的审查、澄清、比较和评价阶段，投标人试图对评标委员会和招标代理机构施加任何影响或对招标人的比较及授予合同的决定产生影响，都可能导致其投标文件被拒绝。</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6    投标费用</w:t>
      </w:r>
    </w:p>
    <w:p>
      <w:pPr>
        <w:tabs>
          <w:tab w:val="left" w:pos="567"/>
        </w:tabs>
        <w:spacing w:line="360" w:lineRule="auto"/>
        <w:ind w:left="56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6.1  不论投标结果如何，投标人应承担自身因投标文件编制、递交及其他参加本招标活动所涉及的一切费用，招标人对上述费用不负任何责任。</w:t>
      </w:r>
    </w:p>
    <w:p>
      <w:pPr>
        <w:tabs>
          <w:tab w:val="left" w:pos="567"/>
          <w:tab w:val="left" w:pos="927"/>
        </w:tabs>
        <w:spacing w:line="360" w:lineRule="auto"/>
        <w:ind w:left="630" w:hanging="630" w:hangingChars="3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7    踏勘现场（招标人不集中组织，由投标人自行踏勘现场。）</w:t>
      </w:r>
    </w:p>
    <w:p>
      <w:pPr>
        <w:tabs>
          <w:tab w:val="left" w:pos="567"/>
        </w:tabs>
        <w:spacing w:line="360" w:lineRule="auto"/>
        <w:ind w:left="56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7.1  投标人应按本《投标人须知前附表》所述时间和要求对工程现场及周围环境进行踏勘，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pPr>
        <w:tabs>
          <w:tab w:val="left" w:pos="567"/>
        </w:tabs>
        <w:spacing w:line="360" w:lineRule="auto"/>
        <w:ind w:left="56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7.2  招标人向投标人提供的有关现场的数据和资料，是招标人现有的能被投标人利用的资料，招标人对投标人做出的任何推论、理解和结论均不负责任。</w:t>
      </w:r>
    </w:p>
    <w:p>
      <w:pPr>
        <w:tabs>
          <w:tab w:val="left" w:pos="567"/>
        </w:tabs>
        <w:spacing w:line="360" w:lineRule="auto"/>
        <w:ind w:left="56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7.3  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pStyle w:val="4"/>
        <w:spacing w:line="360" w:lineRule="auto"/>
        <w:rPr>
          <w:rFonts w:hAnsi="宋体"/>
          <w:b/>
          <w:color w:val="auto"/>
          <w:kern w:val="2"/>
          <w:sz w:val="21"/>
          <w:szCs w:val="21"/>
          <w:highlight w:val="none"/>
          <w:lang w:val="zh-CN"/>
        </w:rPr>
      </w:pPr>
      <w:bookmarkStart w:id="11" w:name="_Toc396137234"/>
      <w:bookmarkStart w:id="12" w:name="_Toc21212"/>
      <w:r>
        <w:rPr>
          <w:rFonts w:hint="eastAsia" w:hAnsi="宋体"/>
          <w:b/>
          <w:color w:val="auto"/>
          <w:kern w:val="2"/>
          <w:sz w:val="21"/>
          <w:szCs w:val="21"/>
          <w:highlight w:val="none"/>
          <w:lang w:val="zh-CN"/>
        </w:rPr>
        <w:t>（二）</w:t>
      </w:r>
      <w:bookmarkEnd w:id="11"/>
      <w:r>
        <w:rPr>
          <w:rFonts w:hint="eastAsia" w:hAnsi="宋体"/>
          <w:b/>
          <w:color w:val="auto"/>
          <w:kern w:val="2"/>
          <w:sz w:val="21"/>
          <w:szCs w:val="21"/>
          <w:highlight w:val="none"/>
          <w:lang w:val="zh-CN"/>
        </w:rPr>
        <w:t>招标文件</w:t>
      </w:r>
      <w:bookmarkEnd w:id="12"/>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8</w:t>
      </w:r>
      <w:r>
        <w:rPr>
          <w:rFonts w:hAnsi="宋体"/>
          <w:color w:val="auto"/>
          <w:kern w:val="2"/>
          <w:sz w:val="21"/>
          <w:szCs w:val="21"/>
          <w:highlight w:val="none"/>
          <w:lang w:val="zh-CN"/>
        </w:rPr>
        <w:tab/>
      </w:r>
      <w:r>
        <w:rPr>
          <w:rFonts w:hint="eastAsia" w:hAnsi="宋体"/>
          <w:color w:val="auto"/>
          <w:kern w:val="2"/>
          <w:sz w:val="21"/>
          <w:szCs w:val="21"/>
          <w:highlight w:val="none"/>
          <w:lang w:val="zh-CN"/>
        </w:rPr>
        <w:t>招标文件的构成</w:t>
      </w:r>
    </w:p>
    <w:p>
      <w:pPr>
        <w:tabs>
          <w:tab w:val="left" w:pos="567"/>
          <w:tab w:val="center" w:pos="4762"/>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8</w:t>
      </w:r>
      <w:r>
        <w:rPr>
          <w:rFonts w:hAnsi="宋体"/>
          <w:color w:val="auto"/>
          <w:kern w:val="2"/>
          <w:sz w:val="21"/>
          <w:szCs w:val="21"/>
          <w:highlight w:val="none"/>
          <w:lang w:val="zh-CN"/>
        </w:rPr>
        <w:t>.1</w:t>
      </w:r>
      <w:r>
        <w:rPr>
          <w:rFonts w:hAnsi="宋体"/>
          <w:color w:val="auto"/>
          <w:kern w:val="2"/>
          <w:sz w:val="21"/>
          <w:szCs w:val="21"/>
          <w:highlight w:val="none"/>
          <w:lang w:val="zh-CN"/>
        </w:rPr>
        <w:tab/>
      </w:r>
      <w:r>
        <w:rPr>
          <w:rFonts w:hint="eastAsia" w:hAnsi="宋体"/>
          <w:color w:val="auto"/>
          <w:kern w:val="2"/>
          <w:sz w:val="21"/>
          <w:szCs w:val="21"/>
          <w:highlight w:val="none"/>
          <w:lang w:val="zh-CN"/>
        </w:rPr>
        <w:t>招标文件包括：</w:t>
      </w:r>
      <w:r>
        <w:rPr>
          <w:rFonts w:hint="eastAsia" w:hAnsi="宋体"/>
          <w:color w:val="auto"/>
          <w:kern w:val="2"/>
          <w:sz w:val="21"/>
          <w:szCs w:val="21"/>
          <w:highlight w:val="none"/>
          <w:lang w:val="zh-CN"/>
        </w:rPr>
        <w:tab/>
      </w:r>
    </w:p>
    <w:p>
      <w:pPr>
        <w:tabs>
          <w:tab w:val="left" w:pos="1560"/>
        </w:tabs>
        <w:spacing w:line="360" w:lineRule="auto"/>
        <w:ind w:left="1890" w:hanging="1323"/>
        <w:jc w:val="both"/>
        <w:rPr>
          <w:rFonts w:hAnsi="宋体"/>
          <w:color w:val="auto"/>
          <w:kern w:val="2"/>
          <w:sz w:val="21"/>
          <w:szCs w:val="21"/>
          <w:highlight w:val="none"/>
          <w:lang w:val="zh-CN"/>
        </w:rPr>
      </w:pPr>
      <w:r>
        <w:rPr>
          <w:rFonts w:hint="eastAsia" w:hAnsi="宋体"/>
          <w:color w:val="auto"/>
          <w:kern w:val="2"/>
          <w:sz w:val="21"/>
          <w:szCs w:val="21"/>
          <w:highlight w:val="none"/>
          <w:lang w:val="zh-CN"/>
        </w:rPr>
        <w:t>第一篇</w:t>
      </w:r>
      <w:r>
        <w:rPr>
          <w:rFonts w:hAnsi="宋体"/>
          <w:color w:val="auto"/>
          <w:kern w:val="2"/>
          <w:sz w:val="21"/>
          <w:szCs w:val="21"/>
          <w:highlight w:val="none"/>
          <w:lang w:val="zh-CN"/>
        </w:rPr>
        <w:tab/>
      </w:r>
      <w:r>
        <w:rPr>
          <w:rFonts w:hint="eastAsia" w:hAnsi="宋体"/>
          <w:color w:val="auto"/>
          <w:kern w:val="2"/>
          <w:sz w:val="21"/>
          <w:szCs w:val="21"/>
          <w:highlight w:val="none"/>
          <w:lang w:val="zh-CN"/>
        </w:rPr>
        <w:t>投标邀请书</w:t>
      </w:r>
    </w:p>
    <w:p>
      <w:pPr>
        <w:tabs>
          <w:tab w:val="left" w:pos="1560"/>
        </w:tabs>
        <w:spacing w:line="360" w:lineRule="auto"/>
        <w:ind w:left="1890" w:hanging="1323"/>
        <w:jc w:val="both"/>
        <w:rPr>
          <w:rFonts w:hAnsi="宋体"/>
          <w:color w:val="auto"/>
          <w:kern w:val="2"/>
          <w:sz w:val="21"/>
          <w:szCs w:val="21"/>
          <w:highlight w:val="none"/>
          <w:lang w:val="zh-CN"/>
        </w:rPr>
      </w:pPr>
      <w:r>
        <w:rPr>
          <w:rFonts w:hint="eastAsia" w:hAnsi="宋体"/>
          <w:color w:val="auto"/>
          <w:kern w:val="2"/>
          <w:sz w:val="21"/>
          <w:szCs w:val="21"/>
          <w:highlight w:val="none"/>
          <w:lang w:val="zh-CN"/>
        </w:rPr>
        <w:t>第二篇</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投标人须知</w:t>
      </w:r>
    </w:p>
    <w:p>
      <w:pPr>
        <w:tabs>
          <w:tab w:val="left" w:pos="1560"/>
        </w:tabs>
        <w:spacing w:line="360" w:lineRule="auto"/>
        <w:ind w:left="1890" w:hanging="1323"/>
        <w:jc w:val="both"/>
        <w:rPr>
          <w:rFonts w:hAnsi="宋体"/>
          <w:color w:val="auto"/>
          <w:kern w:val="2"/>
          <w:sz w:val="21"/>
          <w:szCs w:val="21"/>
          <w:highlight w:val="none"/>
          <w:lang w:val="zh-CN"/>
        </w:rPr>
      </w:pPr>
      <w:r>
        <w:rPr>
          <w:rFonts w:hint="eastAsia" w:hAnsi="宋体"/>
          <w:color w:val="auto"/>
          <w:kern w:val="2"/>
          <w:sz w:val="21"/>
          <w:szCs w:val="21"/>
          <w:highlight w:val="none"/>
          <w:lang w:val="zh-CN"/>
        </w:rPr>
        <w:t>第三篇</w:t>
      </w:r>
      <w:r>
        <w:rPr>
          <w:rFonts w:hAnsi="宋体"/>
          <w:color w:val="auto"/>
          <w:kern w:val="2"/>
          <w:sz w:val="21"/>
          <w:szCs w:val="21"/>
          <w:highlight w:val="none"/>
          <w:lang w:val="zh-CN"/>
        </w:rPr>
        <w:tab/>
      </w:r>
      <w:r>
        <w:rPr>
          <w:rFonts w:hint="eastAsia" w:hAnsi="宋体"/>
          <w:color w:val="auto"/>
          <w:kern w:val="2"/>
          <w:sz w:val="21"/>
          <w:szCs w:val="21"/>
          <w:highlight w:val="none"/>
          <w:lang w:val="zh-CN"/>
        </w:rPr>
        <w:t>用户需求书</w:t>
      </w:r>
    </w:p>
    <w:p>
      <w:pPr>
        <w:tabs>
          <w:tab w:val="left" w:pos="1560"/>
        </w:tabs>
        <w:spacing w:line="360" w:lineRule="auto"/>
        <w:ind w:left="1890" w:hanging="1323"/>
        <w:jc w:val="both"/>
        <w:rPr>
          <w:rFonts w:hAnsi="宋体"/>
          <w:color w:val="auto"/>
          <w:kern w:val="2"/>
          <w:sz w:val="21"/>
          <w:szCs w:val="21"/>
          <w:highlight w:val="none"/>
          <w:lang w:val="zh-CN"/>
        </w:rPr>
      </w:pPr>
      <w:r>
        <w:rPr>
          <w:rFonts w:hint="eastAsia" w:hAnsi="宋体"/>
          <w:color w:val="auto"/>
          <w:kern w:val="2"/>
          <w:sz w:val="21"/>
          <w:szCs w:val="21"/>
          <w:highlight w:val="none"/>
          <w:lang w:val="zh-CN"/>
        </w:rPr>
        <w:t>第四篇</w:t>
      </w:r>
      <w:r>
        <w:rPr>
          <w:rFonts w:hAnsi="宋体"/>
          <w:color w:val="auto"/>
          <w:kern w:val="2"/>
          <w:sz w:val="21"/>
          <w:szCs w:val="21"/>
          <w:highlight w:val="none"/>
          <w:lang w:val="zh-CN"/>
        </w:rPr>
        <w:tab/>
      </w:r>
      <w:r>
        <w:rPr>
          <w:rFonts w:hint="eastAsia" w:hAnsi="宋体"/>
          <w:color w:val="auto"/>
          <w:kern w:val="2"/>
          <w:sz w:val="21"/>
          <w:szCs w:val="21"/>
          <w:highlight w:val="none"/>
          <w:lang w:val="zh-CN"/>
        </w:rPr>
        <w:t>评标工作大纲</w:t>
      </w:r>
    </w:p>
    <w:p>
      <w:pPr>
        <w:tabs>
          <w:tab w:val="left" w:pos="1560"/>
        </w:tabs>
        <w:spacing w:line="360" w:lineRule="auto"/>
        <w:ind w:left="1890" w:hanging="1323"/>
        <w:jc w:val="both"/>
        <w:rPr>
          <w:rFonts w:hAnsi="宋体"/>
          <w:color w:val="auto"/>
          <w:kern w:val="2"/>
          <w:sz w:val="21"/>
          <w:szCs w:val="21"/>
          <w:highlight w:val="none"/>
          <w:lang w:val="zh-CN"/>
        </w:rPr>
      </w:pPr>
      <w:r>
        <w:rPr>
          <w:rFonts w:hint="eastAsia" w:hAnsi="宋体"/>
          <w:color w:val="auto"/>
          <w:kern w:val="2"/>
          <w:sz w:val="21"/>
          <w:szCs w:val="21"/>
          <w:highlight w:val="none"/>
          <w:lang w:val="zh-CN"/>
        </w:rPr>
        <w:t>第五篇</w:t>
      </w:r>
      <w:r>
        <w:rPr>
          <w:rFonts w:hAnsi="宋体"/>
          <w:color w:val="auto"/>
          <w:kern w:val="2"/>
          <w:sz w:val="21"/>
          <w:szCs w:val="21"/>
          <w:highlight w:val="none"/>
          <w:lang w:val="zh-CN"/>
        </w:rPr>
        <w:tab/>
      </w:r>
      <w:r>
        <w:rPr>
          <w:rFonts w:hint="eastAsia" w:hAnsi="宋体"/>
          <w:color w:val="auto"/>
          <w:kern w:val="2"/>
          <w:sz w:val="21"/>
          <w:szCs w:val="21"/>
          <w:highlight w:val="none"/>
          <w:lang w:val="zh-CN"/>
        </w:rPr>
        <w:t>合同条款格式</w:t>
      </w:r>
    </w:p>
    <w:p>
      <w:pPr>
        <w:tabs>
          <w:tab w:val="left" w:pos="1560"/>
        </w:tabs>
        <w:spacing w:line="360" w:lineRule="auto"/>
        <w:ind w:left="1890" w:hanging="1323"/>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第六篇</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投标文件格式</w:t>
      </w:r>
    </w:p>
    <w:p>
      <w:pPr>
        <w:spacing w:line="360" w:lineRule="auto"/>
        <w:ind w:left="420" w:hanging="420" w:hangingChars="200"/>
        <w:jc w:val="both"/>
        <w:rPr>
          <w:rFonts w:hAnsi="宋体"/>
          <w:color w:val="auto"/>
          <w:kern w:val="2"/>
          <w:sz w:val="21"/>
          <w:szCs w:val="21"/>
          <w:highlight w:val="none"/>
          <w:lang w:val="zh-CN"/>
        </w:rPr>
      </w:pPr>
      <w:r>
        <w:rPr>
          <w:rFonts w:hint="eastAsia" w:hAnsi="宋体"/>
          <w:color w:val="auto"/>
          <w:kern w:val="2"/>
          <w:sz w:val="21"/>
          <w:szCs w:val="21"/>
          <w:highlight w:val="none"/>
          <w:lang w:val="zh-CN"/>
        </w:rPr>
        <w:t>8</w:t>
      </w:r>
      <w:r>
        <w:rPr>
          <w:rFonts w:hAnsi="宋体"/>
          <w:color w:val="auto"/>
          <w:kern w:val="2"/>
          <w:sz w:val="21"/>
          <w:szCs w:val="21"/>
          <w:highlight w:val="none"/>
          <w:lang w:val="zh-CN"/>
        </w:rPr>
        <w:t>.2</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pPr>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8</w:t>
      </w:r>
      <w:r>
        <w:rPr>
          <w:rFonts w:hAnsi="宋体"/>
          <w:color w:val="auto"/>
          <w:kern w:val="2"/>
          <w:sz w:val="21"/>
          <w:szCs w:val="21"/>
          <w:highlight w:val="none"/>
          <w:lang w:val="zh-CN"/>
        </w:rPr>
        <w:t>.3</w:t>
      </w:r>
      <w:r>
        <w:rPr>
          <w:rFonts w:hint="eastAsia" w:hAnsi="宋体"/>
          <w:color w:val="auto"/>
          <w:kern w:val="2"/>
          <w:sz w:val="21"/>
          <w:szCs w:val="21"/>
          <w:highlight w:val="none"/>
          <w:lang w:val="zh-CN"/>
        </w:rPr>
        <w:t xml:space="preserve"> 本招标文件使用的词语有如下定义：</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“招标人”系指东莞市旗美投资发展有限公司。</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“招标代理机构</w:t>
      </w:r>
      <w:r>
        <w:rPr>
          <w:rFonts w:hAnsi="宋体"/>
          <w:color w:val="auto"/>
          <w:kern w:val="2"/>
          <w:sz w:val="21"/>
          <w:szCs w:val="21"/>
          <w:highlight w:val="none"/>
          <w:lang w:val="zh-CN"/>
        </w:rPr>
        <w:t>”</w:t>
      </w:r>
      <w:r>
        <w:rPr>
          <w:rFonts w:hint="eastAsia" w:hAnsi="宋体"/>
          <w:color w:val="auto"/>
          <w:kern w:val="2"/>
          <w:sz w:val="21"/>
          <w:szCs w:val="21"/>
          <w:highlight w:val="none"/>
          <w:lang w:val="zh-CN"/>
        </w:rPr>
        <w:t>系指广东泰通伟业工程咨询有限公司。</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rPr>
        <w:t>“供应商”系指向招标人提供货物、工程或者服务的法人、非法人组织或者自然人。</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“投标人”系指响应招标、参加投标竞争并且已向招标人（或招标代理机构）递交投标文件的的供应商。</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“中标人”系指由评标委员会评审推荐，经法定程序确定获得本项目中标资格的投标人。</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“评标委员会”系指依法组建，负责本次招标的评标工作机构。</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“甲方”系指在合同条款中指明的招标人。</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“乙方”系指在合同条款中指明的本合同项下提供服务的公司或实体。</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“招标文件”系指由招标代理机构发出的本招标文件，包括全部章节和附件。</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“投标文件”系指投标人根据本招标文件向招标代理机构提交的全部文件。</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“书面函件”系统手写、打字或印刷的函件，包括电传、电报和传真。</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“合同”系统由本次招标所产生的合同或合约文件。</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“日期”系指公历日。</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“时间”系指北京时间。</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货币单位均为人民币元。</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盖章：一般情况指盖投标人的法定公章，除招标文件特别说明外，使用财务专用章、合同章、投标专用章等非公章的盖章，均作无效盖章处理。</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签署：一般情况指亲笔签字或使用盖私章方式，除招标文件特别说明外，其他方式均作无效签署处理。</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“服务”系指投标人须向招标人提供的符合招标文件要求的服务。</w:t>
      </w:r>
    </w:p>
    <w:p>
      <w:pPr>
        <w:numPr>
          <w:ilvl w:val="0"/>
          <w:numId w:val="14"/>
        </w:numPr>
        <w:tabs>
          <w:tab w:val="left" w:pos="993"/>
          <w:tab w:val="clear" w:pos="840"/>
        </w:tabs>
        <w:spacing w:line="360" w:lineRule="auto"/>
        <w:ind w:left="1134" w:hanging="708"/>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货物”系指投标人须向招标人提供的符合招标文件要求的货物等，其来源地均应为中华人民共和国或与中华人民共和国有官方贸易关系的国家或地区。招标文件中没有提及货物来源地的，优先采购自主创新、节能、环保产品。投标的货物必须是合法生产的符合国家有关标准要求的全新原厂生产的产品，并满足招标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人必须提供上述全部相关资料及证明文件。</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“实质性响应”系指符合招标文件的所有要求、条款、条件和规定，且没有不利于项目实施质量效果和服务保障的重大偏离或保留。</w:t>
      </w:r>
    </w:p>
    <w:p>
      <w:pPr>
        <w:numPr>
          <w:ilvl w:val="0"/>
          <w:numId w:val="14"/>
        </w:numPr>
        <w:tabs>
          <w:tab w:val="left" w:pos="993"/>
          <w:tab w:val="clear" w:pos="840"/>
        </w:tabs>
        <w:spacing w:line="360" w:lineRule="auto"/>
        <w:ind w:left="1134" w:hanging="708"/>
        <w:jc w:val="both"/>
        <w:rPr>
          <w:rFonts w:hAnsi="宋体"/>
          <w:color w:val="auto"/>
          <w:kern w:val="2"/>
          <w:sz w:val="21"/>
          <w:szCs w:val="21"/>
          <w:highlight w:val="none"/>
          <w:lang w:val="zh-CN"/>
        </w:rPr>
      </w:pPr>
      <w:r>
        <w:rPr>
          <w:rFonts w:hint="eastAsia" w:hAnsi="宋体"/>
          <w:color w:val="auto"/>
          <w:kern w:val="2"/>
          <w:sz w:val="21"/>
          <w:szCs w:val="21"/>
          <w:highlight w:val="none"/>
          <w:lang w:val="zh-CN"/>
        </w:rPr>
        <w:t>“重大偏离或保留”系指影响到招标文件规定的范围、质量和性能或限制了招标人的权力和投标人义务的规定，而纠正这些偏离将影响到其它投标人的公平竞争地位。</w:t>
      </w:r>
    </w:p>
    <w:p>
      <w:pPr>
        <w:spacing w:line="360" w:lineRule="auto"/>
        <w:jc w:val="both"/>
        <w:rPr>
          <w:rFonts w:hAnsi="宋体"/>
          <w:color w:val="auto"/>
          <w:kern w:val="2"/>
          <w:sz w:val="21"/>
          <w:szCs w:val="21"/>
          <w:highlight w:val="none"/>
          <w:lang w:val="zh-CN"/>
        </w:rPr>
      </w:pPr>
      <w:r>
        <w:rPr>
          <w:rFonts w:hint="eastAsia" w:hAnsi="宋体"/>
          <w:color w:val="auto"/>
          <w:kern w:val="2"/>
          <w:sz w:val="21"/>
          <w:szCs w:val="21"/>
          <w:highlight w:val="none"/>
          <w:lang w:val="zh-CN"/>
        </w:rPr>
        <w:t>8</w:t>
      </w:r>
      <w:r>
        <w:rPr>
          <w:rFonts w:hAnsi="宋体"/>
          <w:color w:val="auto"/>
          <w:kern w:val="2"/>
          <w:sz w:val="21"/>
          <w:szCs w:val="21"/>
          <w:highlight w:val="none"/>
          <w:lang w:val="zh-CN"/>
        </w:rPr>
        <w:t>.</w:t>
      </w:r>
      <w:r>
        <w:rPr>
          <w:rFonts w:hint="eastAsia" w:hAnsi="宋体"/>
          <w:color w:val="auto"/>
          <w:kern w:val="2"/>
          <w:sz w:val="21"/>
          <w:szCs w:val="21"/>
          <w:highlight w:val="none"/>
          <w:lang w:val="zh-CN"/>
        </w:rPr>
        <w:t xml:space="preserve">4 </w:t>
      </w:r>
      <w:r>
        <w:rPr>
          <w:rFonts w:hAnsi="宋体"/>
          <w:color w:val="auto"/>
          <w:kern w:val="2"/>
          <w:sz w:val="21"/>
          <w:szCs w:val="21"/>
          <w:highlight w:val="none"/>
          <w:lang w:val="zh-CN"/>
        </w:rPr>
        <w:t>知识产权</w:t>
      </w:r>
    </w:p>
    <w:p>
      <w:pPr>
        <w:spacing w:line="360" w:lineRule="auto"/>
        <w:ind w:left="528" w:leftChars="220" w:firstLine="315" w:firstLineChars="150"/>
        <w:rPr>
          <w:rFonts w:hAnsi="宋体"/>
          <w:color w:val="auto"/>
          <w:sz w:val="21"/>
          <w:szCs w:val="21"/>
          <w:highlight w:val="none"/>
          <w:lang w:val="en-GB"/>
        </w:rPr>
      </w:pPr>
      <w:r>
        <w:rPr>
          <w:rFonts w:hint="eastAsia" w:hAnsi="宋体"/>
          <w:color w:val="auto"/>
          <w:sz w:val="21"/>
          <w:szCs w:val="21"/>
          <w:highlight w:val="none"/>
          <w:lang w:val="en-GB"/>
        </w:rPr>
        <w:t>投标人必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9</w:t>
      </w:r>
      <w:r>
        <w:rPr>
          <w:rFonts w:hAnsi="宋体"/>
          <w:color w:val="auto"/>
          <w:kern w:val="2"/>
          <w:sz w:val="21"/>
          <w:szCs w:val="21"/>
          <w:highlight w:val="none"/>
          <w:lang w:val="zh-CN"/>
        </w:rPr>
        <w:tab/>
      </w:r>
      <w:r>
        <w:rPr>
          <w:rFonts w:hint="eastAsia" w:hAnsi="宋体"/>
          <w:color w:val="auto"/>
          <w:kern w:val="2"/>
          <w:sz w:val="21"/>
          <w:szCs w:val="21"/>
          <w:highlight w:val="none"/>
          <w:lang w:val="zh-CN"/>
        </w:rPr>
        <w:t>招标文件的澄清或修改</w:t>
      </w:r>
    </w:p>
    <w:p>
      <w:pPr>
        <w:tabs>
          <w:tab w:val="left" w:pos="567"/>
        </w:tabs>
        <w:spacing w:line="360" w:lineRule="auto"/>
        <w:ind w:left="567" w:hanging="567"/>
        <w:jc w:val="both"/>
        <w:rPr>
          <w:rFonts w:hint="eastAsia" w:hAnsi="宋体"/>
          <w:bCs/>
          <w:color w:val="auto"/>
          <w:kern w:val="2"/>
          <w:sz w:val="21"/>
          <w:szCs w:val="21"/>
          <w:highlight w:val="none"/>
          <w:lang w:val="zh-CN"/>
        </w:rPr>
      </w:pPr>
      <w:r>
        <w:rPr>
          <w:rFonts w:hint="eastAsia" w:hAnsi="宋体"/>
          <w:color w:val="auto"/>
          <w:kern w:val="2"/>
          <w:sz w:val="21"/>
          <w:szCs w:val="21"/>
          <w:highlight w:val="none"/>
          <w:lang w:val="zh-CN"/>
        </w:rPr>
        <w:t>9</w:t>
      </w:r>
      <w:r>
        <w:rPr>
          <w:rFonts w:hAnsi="宋体"/>
          <w:color w:val="auto"/>
          <w:kern w:val="2"/>
          <w:sz w:val="21"/>
          <w:szCs w:val="21"/>
          <w:highlight w:val="none"/>
          <w:lang w:val="zh-CN"/>
        </w:rPr>
        <w:t>.1</w:t>
      </w:r>
      <w:r>
        <w:rPr>
          <w:rFonts w:hAnsi="宋体"/>
          <w:color w:val="auto"/>
          <w:kern w:val="2"/>
          <w:sz w:val="21"/>
          <w:szCs w:val="21"/>
          <w:highlight w:val="none"/>
          <w:lang w:val="zh-CN"/>
        </w:rPr>
        <w:tab/>
      </w:r>
      <w:r>
        <w:rPr>
          <w:rFonts w:hint="eastAsia" w:hAnsi="宋体"/>
          <w:bCs/>
          <w:color w:val="auto"/>
          <w:kern w:val="2"/>
          <w:sz w:val="21"/>
          <w:szCs w:val="21"/>
          <w:highlight w:val="none"/>
          <w:lang w:val="zh-CN"/>
        </w:rPr>
        <w:t>招标人或招标代理机构可以对已发出的招标文件进行必要的澄清或者修改。澄清或者修改的内容可能影响投标文件编制的，招标代理机构将在投标截止时间至少15日前，澄清或者修改以更正公告予以通知所有潜在投标人；不足15日的，招标代理机构将顺延提交投标文件的截止时间。并在指定的招标信息发布媒体上发布更正公告。</w:t>
      </w:r>
    </w:p>
    <w:p>
      <w:pPr>
        <w:tabs>
          <w:tab w:val="left" w:pos="567"/>
        </w:tabs>
        <w:spacing w:line="360" w:lineRule="auto"/>
        <w:ind w:left="567" w:hanging="567"/>
        <w:jc w:val="both"/>
        <w:rPr>
          <w:rFonts w:hint="eastAsia" w:hAnsi="宋体"/>
          <w:bCs/>
          <w:color w:val="auto"/>
          <w:kern w:val="2"/>
          <w:sz w:val="21"/>
          <w:szCs w:val="21"/>
          <w:highlight w:val="none"/>
          <w:lang w:val="zh-CN"/>
        </w:rPr>
      </w:pPr>
      <w:r>
        <w:rPr>
          <w:rFonts w:hint="eastAsia" w:hAnsi="宋体"/>
          <w:bCs/>
          <w:color w:val="auto"/>
          <w:kern w:val="2"/>
          <w:sz w:val="21"/>
          <w:szCs w:val="21"/>
          <w:highlight w:val="none"/>
          <w:lang w:val="zh-CN"/>
        </w:rPr>
        <w:t>9</w:t>
      </w:r>
      <w:r>
        <w:rPr>
          <w:rFonts w:hAnsi="宋体"/>
          <w:bCs/>
          <w:color w:val="auto"/>
          <w:kern w:val="2"/>
          <w:sz w:val="21"/>
          <w:szCs w:val="21"/>
          <w:highlight w:val="none"/>
          <w:lang w:val="zh-CN"/>
        </w:rPr>
        <w:t>.</w:t>
      </w:r>
      <w:r>
        <w:rPr>
          <w:rFonts w:hint="eastAsia" w:hAnsi="宋体"/>
          <w:bCs/>
          <w:color w:val="auto"/>
          <w:kern w:val="2"/>
          <w:sz w:val="21"/>
          <w:szCs w:val="21"/>
          <w:highlight w:val="none"/>
          <w:lang w:val="zh-CN"/>
        </w:rPr>
        <w:t>2</w:t>
      </w:r>
      <w:r>
        <w:rPr>
          <w:rFonts w:hAnsi="宋体"/>
          <w:bCs/>
          <w:color w:val="auto"/>
          <w:kern w:val="2"/>
          <w:sz w:val="21"/>
          <w:szCs w:val="21"/>
          <w:highlight w:val="none"/>
          <w:lang w:val="zh-CN"/>
        </w:rPr>
        <w:tab/>
      </w:r>
      <w:r>
        <w:rPr>
          <w:rFonts w:hint="eastAsia" w:hAnsi="宋体"/>
          <w:bCs/>
          <w:color w:val="auto"/>
          <w:kern w:val="2"/>
          <w:sz w:val="21"/>
          <w:szCs w:val="21"/>
          <w:highlight w:val="none"/>
          <w:lang w:val="zh-CN"/>
        </w:rPr>
        <w:t>招标人或招标代理机构可以视招标具体情况，延长投标截止时间和开标时间，但至少应当在招标文件要求提交投标文件的截止时间3日前，将以变更公告予以通知所有潜在投标人，并在指定的招标信息发布媒体上发布变更公告。</w:t>
      </w:r>
    </w:p>
    <w:p>
      <w:pPr>
        <w:tabs>
          <w:tab w:val="left" w:pos="567"/>
        </w:tabs>
        <w:spacing w:line="360" w:lineRule="auto"/>
        <w:ind w:left="567" w:hanging="567"/>
        <w:jc w:val="both"/>
        <w:rPr>
          <w:rFonts w:hint="eastAsia" w:hAnsi="宋体"/>
          <w:bCs/>
          <w:color w:val="auto"/>
          <w:kern w:val="2"/>
          <w:sz w:val="21"/>
          <w:szCs w:val="21"/>
          <w:highlight w:val="none"/>
          <w:lang w:val="zh-CN"/>
        </w:rPr>
      </w:pPr>
      <w:r>
        <w:rPr>
          <w:rFonts w:hint="eastAsia" w:hAnsi="宋体"/>
          <w:bCs/>
          <w:color w:val="auto"/>
          <w:kern w:val="2"/>
          <w:sz w:val="21"/>
          <w:szCs w:val="21"/>
          <w:highlight w:val="none"/>
          <w:lang w:val="zh-CN"/>
        </w:rPr>
        <w:t>9.3  招标文件</w:t>
      </w:r>
      <w:r>
        <w:rPr>
          <w:rFonts w:hAnsi="宋体"/>
          <w:bCs/>
          <w:color w:val="auto"/>
          <w:kern w:val="2"/>
          <w:sz w:val="21"/>
          <w:szCs w:val="21"/>
          <w:highlight w:val="none"/>
          <w:lang w:val="zh-CN"/>
        </w:rPr>
        <w:t>的</w:t>
      </w:r>
      <w:r>
        <w:rPr>
          <w:rFonts w:hint="eastAsia" w:hAnsi="宋体"/>
          <w:bCs/>
          <w:color w:val="auto"/>
          <w:kern w:val="2"/>
          <w:sz w:val="21"/>
          <w:szCs w:val="21"/>
          <w:highlight w:val="none"/>
          <w:lang w:val="zh-CN"/>
        </w:rPr>
        <w:t>澄清或者修改</w:t>
      </w:r>
      <w:r>
        <w:rPr>
          <w:rFonts w:hAnsi="宋体"/>
          <w:bCs/>
          <w:color w:val="auto"/>
          <w:kern w:val="2"/>
          <w:sz w:val="21"/>
          <w:szCs w:val="21"/>
          <w:highlight w:val="none"/>
          <w:lang w:val="zh-CN"/>
        </w:rPr>
        <w:t>内容作为</w:t>
      </w:r>
      <w:r>
        <w:rPr>
          <w:rFonts w:hint="eastAsia" w:hAnsi="宋体"/>
          <w:bCs/>
          <w:color w:val="auto"/>
          <w:kern w:val="2"/>
          <w:sz w:val="21"/>
          <w:szCs w:val="21"/>
          <w:highlight w:val="none"/>
          <w:lang w:val="zh-CN"/>
        </w:rPr>
        <w:t>招标文件</w:t>
      </w:r>
      <w:r>
        <w:rPr>
          <w:rFonts w:hAnsi="宋体"/>
          <w:bCs/>
          <w:color w:val="auto"/>
          <w:kern w:val="2"/>
          <w:sz w:val="21"/>
          <w:szCs w:val="21"/>
          <w:highlight w:val="none"/>
          <w:lang w:val="zh-CN"/>
        </w:rPr>
        <w:t>的组成部分</w:t>
      </w:r>
      <w:r>
        <w:rPr>
          <w:rFonts w:hint="eastAsia" w:hAnsi="宋体"/>
          <w:bCs/>
          <w:color w:val="auto"/>
          <w:kern w:val="2"/>
          <w:sz w:val="21"/>
          <w:szCs w:val="21"/>
          <w:highlight w:val="none"/>
          <w:lang w:val="zh-CN"/>
        </w:rPr>
        <w:t>，并对投标人具有约束力。</w:t>
      </w:r>
      <w:r>
        <w:rPr>
          <w:rFonts w:hAnsi="宋体"/>
          <w:bCs/>
          <w:color w:val="auto"/>
          <w:kern w:val="2"/>
          <w:sz w:val="21"/>
          <w:szCs w:val="21"/>
          <w:highlight w:val="none"/>
          <w:lang w:val="zh-CN"/>
        </w:rPr>
        <w:t>当</w:t>
      </w:r>
      <w:r>
        <w:rPr>
          <w:rFonts w:hint="eastAsia" w:hAnsi="宋体"/>
          <w:bCs/>
          <w:color w:val="auto"/>
          <w:kern w:val="2"/>
          <w:sz w:val="21"/>
          <w:szCs w:val="21"/>
          <w:highlight w:val="none"/>
          <w:lang w:val="zh-CN"/>
        </w:rPr>
        <w:t>招标文件</w:t>
      </w:r>
      <w:r>
        <w:rPr>
          <w:rFonts w:hAnsi="宋体"/>
          <w:bCs/>
          <w:color w:val="auto"/>
          <w:kern w:val="2"/>
          <w:sz w:val="21"/>
          <w:szCs w:val="21"/>
          <w:highlight w:val="none"/>
          <w:lang w:val="zh-CN"/>
        </w:rPr>
        <w:t>、</w:t>
      </w:r>
      <w:r>
        <w:rPr>
          <w:rFonts w:hint="eastAsia" w:hAnsi="宋体"/>
          <w:bCs/>
          <w:color w:val="auto"/>
          <w:kern w:val="2"/>
          <w:sz w:val="21"/>
          <w:szCs w:val="21"/>
          <w:highlight w:val="none"/>
          <w:lang w:val="zh-CN"/>
        </w:rPr>
        <w:t>招标文件</w:t>
      </w:r>
      <w:r>
        <w:rPr>
          <w:rFonts w:hAnsi="宋体"/>
          <w:bCs/>
          <w:color w:val="auto"/>
          <w:kern w:val="2"/>
          <w:sz w:val="21"/>
          <w:szCs w:val="21"/>
          <w:highlight w:val="none"/>
          <w:lang w:val="zh-CN"/>
        </w:rPr>
        <w:t>的澄清</w:t>
      </w:r>
      <w:r>
        <w:rPr>
          <w:rFonts w:hint="eastAsia" w:hAnsi="宋体"/>
          <w:bCs/>
          <w:color w:val="auto"/>
          <w:kern w:val="2"/>
          <w:sz w:val="21"/>
          <w:szCs w:val="21"/>
          <w:highlight w:val="none"/>
          <w:lang w:val="zh-CN"/>
        </w:rPr>
        <w:t>或</w:t>
      </w:r>
      <w:r>
        <w:rPr>
          <w:rFonts w:hAnsi="宋体"/>
          <w:bCs/>
          <w:color w:val="auto"/>
          <w:kern w:val="2"/>
          <w:sz w:val="21"/>
          <w:szCs w:val="21"/>
          <w:highlight w:val="none"/>
          <w:lang w:val="zh-CN"/>
        </w:rPr>
        <w:t>修改在同一内容的表述上不一致时，以最后发出的文件</w:t>
      </w:r>
      <w:r>
        <w:rPr>
          <w:rFonts w:hint="eastAsia" w:hAnsi="宋体"/>
          <w:bCs/>
          <w:color w:val="auto"/>
          <w:kern w:val="2"/>
          <w:sz w:val="21"/>
          <w:szCs w:val="21"/>
          <w:highlight w:val="none"/>
          <w:lang w:val="zh-CN"/>
        </w:rPr>
        <w:t>内容</w:t>
      </w:r>
      <w:r>
        <w:rPr>
          <w:rFonts w:hAnsi="宋体"/>
          <w:bCs/>
          <w:color w:val="auto"/>
          <w:kern w:val="2"/>
          <w:sz w:val="21"/>
          <w:szCs w:val="21"/>
          <w:highlight w:val="none"/>
          <w:lang w:val="zh-CN"/>
        </w:rPr>
        <w:t>为准</w:t>
      </w:r>
      <w:r>
        <w:rPr>
          <w:rFonts w:hint="eastAsia" w:hAnsi="宋体"/>
          <w:bCs/>
          <w:color w:val="auto"/>
          <w:kern w:val="2"/>
          <w:sz w:val="21"/>
          <w:szCs w:val="21"/>
          <w:highlight w:val="none"/>
          <w:lang w:val="zh-CN"/>
        </w:rPr>
        <w:t>。</w:t>
      </w:r>
    </w:p>
    <w:p>
      <w:pPr>
        <w:pStyle w:val="4"/>
        <w:spacing w:line="360" w:lineRule="auto"/>
        <w:rPr>
          <w:rFonts w:hAnsi="宋体"/>
          <w:b/>
          <w:bCs/>
          <w:color w:val="auto"/>
          <w:kern w:val="44"/>
          <w:sz w:val="21"/>
          <w:szCs w:val="21"/>
          <w:highlight w:val="none"/>
          <w:lang w:val="zh-CN"/>
        </w:rPr>
      </w:pPr>
      <w:bookmarkStart w:id="13" w:name="_Toc396137235"/>
      <w:bookmarkStart w:id="14" w:name="_Toc25734"/>
      <w:r>
        <w:rPr>
          <w:rFonts w:hint="eastAsia" w:hAnsi="宋体"/>
          <w:b/>
          <w:bCs/>
          <w:color w:val="auto"/>
          <w:kern w:val="44"/>
          <w:sz w:val="21"/>
          <w:szCs w:val="21"/>
          <w:highlight w:val="none"/>
          <w:lang w:val="zh-CN"/>
        </w:rPr>
        <w:t>（三）投标文件的编制</w:t>
      </w:r>
      <w:bookmarkEnd w:id="13"/>
      <w:bookmarkEnd w:id="14"/>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10</w:t>
      </w:r>
      <w:r>
        <w:rPr>
          <w:rFonts w:hAnsi="宋体"/>
          <w:color w:val="auto"/>
          <w:kern w:val="2"/>
          <w:sz w:val="21"/>
          <w:szCs w:val="21"/>
          <w:highlight w:val="none"/>
          <w:lang w:val="zh-CN"/>
        </w:rPr>
        <w:tab/>
      </w:r>
      <w:r>
        <w:rPr>
          <w:rFonts w:hint="eastAsia" w:hAnsi="宋体"/>
          <w:color w:val="auto"/>
          <w:kern w:val="2"/>
          <w:sz w:val="21"/>
          <w:szCs w:val="21"/>
          <w:highlight w:val="none"/>
          <w:lang w:val="zh-CN"/>
        </w:rPr>
        <w:t>投标使用的文字及度量衡单位。</w:t>
      </w:r>
    </w:p>
    <w:p>
      <w:pPr>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w:t>
      </w:r>
      <w:r>
        <w:rPr>
          <w:rFonts w:hAnsi="宋体"/>
          <w:color w:val="auto"/>
          <w:kern w:val="2"/>
          <w:sz w:val="21"/>
          <w:szCs w:val="21"/>
          <w:highlight w:val="none"/>
          <w:lang w:val="zh-CN"/>
        </w:rPr>
        <w:t>.1</w:t>
      </w:r>
      <w:r>
        <w:rPr>
          <w:rFonts w:hint="eastAsia" w:hAnsi="宋体"/>
          <w:color w:val="auto"/>
          <w:kern w:val="2"/>
          <w:sz w:val="21"/>
          <w:szCs w:val="21"/>
          <w:highlight w:val="none"/>
          <w:lang w:val="zh-CN"/>
        </w:rPr>
        <w:t xml:space="preserve"> 投标人应仔细阅读招标文件的所有内容，并按招标文件的规定及附件要求的内容和格式，提交完整的投标文件，并保证所提供全部资料的真实性，所有不完整的投标将被拒绝。</w:t>
      </w:r>
    </w:p>
    <w:p>
      <w:pPr>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w:t>
      </w:r>
      <w:r>
        <w:rPr>
          <w:rFonts w:hAnsi="宋体"/>
          <w:color w:val="auto"/>
          <w:kern w:val="2"/>
          <w:sz w:val="21"/>
          <w:szCs w:val="21"/>
          <w:highlight w:val="none"/>
          <w:lang w:val="zh-CN"/>
        </w:rPr>
        <w:t>.2</w:t>
      </w:r>
      <w:r>
        <w:rPr>
          <w:rFonts w:hint="eastAsia" w:hAnsi="宋体"/>
          <w:color w:val="auto"/>
          <w:kern w:val="2"/>
          <w:sz w:val="21"/>
          <w:szCs w:val="21"/>
          <w:highlight w:val="none"/>
          <w:lang w:val="zh-CN"/>
        </w:rPr>
        <w:t xml:space="preserve"> 投标文件使用的度量衡单位采用中华人民共和国法定计量单位。</w:t>
      </w:r>
    </w:p>
    <w:p>
      <w:pPr>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10.3 投标人提交的投标文件以及投标人与招标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10.4 招标文件中，如标有“★”的条款均为必须完全满足指标，投标人须进行实质性响应，投标人若有一项带“★”的条款未响应或不满足，将按无效投标处理。</w:t>
      </w:r>
    </w:p>
    <w:p>
      <w:pPr>
        <w:tabs>
          <w:tab w:val="left" w:pos="720"/>
          <w:tab w:val="left" w:pos="3460"/>
        </w:tabs>
        <w:spacing w:line="360" w:lineRule="auto"/>
        <w:ind w:left="525"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10.5 招标文件中，如标有“▲”的条款均为评审的重要评分指标，投标人若有部分“▲”条款未响应或不满足，将导致其响应性评审严重扣分。</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10.6 投标人应对投标内容提供完整的、详细的、清晰的技术说明，如投标人对指定的技术要求建议做任何改动，应在投标文件中清楚地注明；投标人对招标文件的对应要求应当给予唯一的实质性响应，否则将视为不响应。技术参数要求中标注有具体数值要求的，投标人必须在技术规格响应表中标注实际数值，不标注数值者视为不响应。如有要求，投标人应在投标文件中提供投标产品彩页或相应技术参数的厂家使用说明书复印件作为技术证明文件，否则评标委员会有权视相应技术参数响应不符合招标要求。（如厂家的产品使用说明书为英文版，请同时提供中文版）</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10.7 投标人响应招标需求应具体、明确，含糊不清、不确切、直接复制招标文件中技术规格或参数要求的，或伪造、变造证明材料的，按照不完全响应或完全不响应处理。构成提供虚假材料的，移送监管部门查处。</w:t>
      </w:r>
    </w:p>
    <w:p>
      <w:pPr>
        <w:tabs>
          <w:tab w:val="left" w:pos="720"/>
          <w:tab w:val="left" w:pos="3460"/>
        </w:tabs>
        <w:spacing w:line="360" w:lineRule="auto"/>
        <w:ind w:left="525" w:hanging="525" w:hangingChars="250"/>
        <w:jc w:val="both"/>
        <w:rPr>
          <w:rFonts w:hAnsi="宋体"/>
          <w:color w:val="auto"/>
          <w:kern w:val="2"/>
          <w:sz w:val="21"/>
          <w:szCs w:val="21"/>
          <w:highlight w:val="none"/>
          <w:lang w:val="zh-CN"/>
        </w:rPr>
      </w:pPr>
      <w:r>
        <w:rPr>
          <w:rFonts w:hint="eastAsia" w:hAnsi="宋体"/>
          <w:color w:val="auto"/>
          <w:kern w:val="2"/>
          <w:sz w:val="21"/>
          <w:szCs w:val="21"/>
          <w:highlight w:val="none"/>
          <w:lang w:val="zh-CN"/>
        </w:rPr>
        <w:t>10.8 投标人对招标文件的商务合同不允许实质性偏离，否则将视为不响应。</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10.9 资格文件视为投标文件不可分割的一部份，投标人应提供相关证件、证明文件的复印件，否则，评标委员会有权不予采信。投标人的相关证件、证明文件、合同和其他文件的原件、复印件没有按招标文件规定提交或提交的原件与复印件不一致的，其投标无效。</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10.10 投标文件按规定加盖的投标人公章必须为企业法人公章，且与投标人名称一致，不能以其它业务章或附属机构章代替。需签名之处必须由当事人亲笔签名。</w:t>
      </w:r>
    </w:p>
    <w:p>
      <w:pPr>
        <w:tabs>
          <w:tab w:val="left" w:pos="720"/>
          <w:tab w:val="left" w:pos="3460"/>
        </w:tabs>
        <w:spacing w:line="360" w:lineRule="auto"/>
        <w:ind w:left="527" w:hanging="527" w:hangingChars="250"/>
        <w:jc w:val="both"/>
        <w:rPr>
          <w:rFonts w:hint="eastAsia" w:hAnsi="宋体"/>
          <w:b/>
          <w:bCs/>
          <w:color w:val="auto"/>
          <w:kern w:val="2"/>
          <w:sz w:val="21"/>
          <w:szCs w:val="21"/>
          <w:highlight w:val="none"/>
        </w:rPr>
      </w:pPr>
      <w:r>
        <w:rPr>
          <w:rFonts w:hint="eastAsia" w:hAnsi="宋体"/>
          <w:b/>
          <w:bCs/>
          <w:color w:val="auto"/>
          <w:kern w:val="2"/>
          <w:sz w:val="21"/>
          <w:szCs w:val="21"/>
          <w:highlight w:val="none"/>
        </w:rPr>
        <w:t>10.11 弄虚作假</w:t>
      </w:r>
    </w:p>
    <w:p>
      <w:pPr>
        <w:tabs>
          <w:tab w:val="left" w:pos="720"/>
          <w:tab w:val="left" w:pos="3460"/>
        </w:tabs>
        <w:spacing w:line="360" w:lineRule="auto"/>
        <w:ind w:left="525" w:hanging="525" w:hangingChars="250"/>
        <w:jc w:val="both"/>
        <w:rPr>
          <w:rFonts w:hint="eastAsia" w:hAnsi="宋体"/>
          <w:color w:val="auto"/>
          <w:kern w:val="2"/>
          <w:sz w:val="21"/>
          <w:szCs w:val="21"/>
          <w:highlight w:val="none"/>
        </w:rPr>
      </w:pPr>
      <w:r>
        <w:rPr>
          <w:rFonts w:hint="eastAsia" w:hAnsi="宋体"/>
          <w:color w:val="auto"/>
          <w:kern w:val="2"/>
          <w:sz w:val="21"/>
          <w:szCs w:val="21"/>
          <w:highlight w:val="none"/>
        </w:rPr>
        <w:t>10.11.1使用通过受让或者租借等方式获取的资格、资质证书投标的，属于以他人名义投标。</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rPr>
        <w:t>10.11.2</w:t>
      </w:r>
      <w:r>
        <w:rPr>
          <w:rFonts w:hint="eastAsia" w:hAnsi="宋体"/>
          <w:color w:val="auto"/>
          <w:kern w:val="2"/>
          <w:sz w:val="21"/>
          <w:szCs w:val="21"/>
          <w:highlight w:val="none"/>
          <w:lang w:val="zh-CN"/>
        </w:rPr>
        <w:t>投标人有下列情形之一的，属于以其他方式弄虚作假的行为：</w:t>
      </w:r>
    </w:p>
    <w:p>
      <w:pPr>
        <w:tabs>
          <w:tab w:val="left" w:pos="720"/>
          <w:tab w:val="left" w:pos="3460"/>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rPr>
        <w:t>1</w:t>
      </w:r>
      <w:r>
        <w:rPr>
          <w:rFonts w:hint="eastAsia" w:hAnsi="宋体"/>
          <w:color w:val="auto"/>
          <w:kern w:val="2"/>
          <w:sz w:val="21"/>
          <w:szCs w:val="21"/>
          <w:highlight w:val="none"/>
          <w:lang w:val="zh-CN"/>
        </w:rPr>
        <w:t>）使用伪造、变造的许可证件；</w:t>
      </w:r>
    </w:p>
    <w:p>
      <w:pPr>
        <w:tabs>
          <w:tab w:val="left" w:pos="720"/>
          <w:tab w:val="left" w:pos="3460"/>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rPr>
        <w:t>2</w:t>
      </w:r>
      <w:r>
        <w:rPr>
          <w:rFonts w:hint="eastAsia" w:hAnsi="宋体"/>
          <w:color w:val="auto"/>
          <w:kern w:val="2"/>
          <w:sz w:val="21"/>
          <w:szCs w:val="21"/>
          <w:highlight w:val="none"/>
          <w:lang w:val="zh-CN"/>
        </w:rPr>
        <w:t xml:space="preserve">）提供虚假的财务状况或者业绩； </w:t>
      </w:r>
    </w:p>
    <w:p>
      <w:pPr>
        <w:tabs>
          <w:tab w:val="left" w:pos="720"/>
          <w:tab w:val="left" w:pos="3460"/>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rPr>
        <w:t>3</w:t>
      </w:r>
      <w:r>
        <w:rPr>
          <w:rFonts w:hint="eastAsia" w:hAnsi="宋体"/>
          <w:color w:val="auto"/>
          <w:kern w:val="2"/>
          <w:sz w:val="21"/>
          <w:szCs w:val="21"/>
          <w:highlight w:val="none"/>
          <w:lang w:val="zh-CN"/>
        </w:rPr>
        <w:t xml:space="preserve">）提供虚假的项目负责人或者主要技术人员简历、劳动关系证明； </w:t>
      </w:r>
    </w:p>
    <w:p>
      <w:pPr>
        <w:tabs>
          <w:tab w:val="left" w:pos="720"/>
          <w:tab w:val="left" w:pos="3460"/>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rPr>
        <w:t>（4）</w:t>
      </w:r>
      <w:r>
        <w:rPr>
          <w:rFonts w:hint="eastAsia" w:hAnsi="宋体"/>
          <w:color w:val="auto"/>
          <w:kern w:val="2"/>
          <w:sz w:val="21"/>
          <w:szCs w:val="21"/>
          <w:highlight w:val="none"/>
          <w:lang w:val="zh-CN"/>
        </w:rPr>
        <w:t>提供虚假的信用状况；</w:t>
      </w:r>
    </w:p>
    <w:p>
      <w:pPr>
        <w:tabs>
          <w:tab w:val="left" w:pos="720"/>
          <w:tab w:val="left" w:pos="3460"/>
        </w:tabs>
        <w:spacing w:line="360" w:lineRule="auto"/>
        <w:ind w:firstLine="420" w:firstLineChars="2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w:t>
      </w:r>
      <w:r>
        <w:rPr>
          <w:rFonts w:hint="eastAsia" w:hAnsi="宋体"/>
          <w:color w:val="auto"/>
          <w:kern w:val="2"/>
          <w:sz w:val="21"/>
          <w:szCs w:val="21"/>
          <w:highlight w:val="none"/>
        </w:rPr>
        <w:t>5</w:t>
      </w:r>
      <w:r>
        <w:rPr>
          <w:rFonts w:hint="eastAsia" w:hAnsi="宋体"/>
          <w:color w:val="auto"/>
          <w:kern w:val="2"/>
          <w:sz w:val="21"/>
          <w:szCs w:val="21"/>
          <w:highlight w:val="none"/>
          <w:lang w:val="zh-CN"/>
        </w:rPr>
        <w:t>）其他弄虚作假的行为。</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11</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投标文件的组成</w:t>
      </w:r>
      <w:r>
        <w:rPr>
          <w:rFonts w:hint="eastAsia" w:hAnsi="宋体"/>
          <w:color w:val="auto"/>
          <w:sz w:val="21"/>
          <w:szCs w:val="21"/>
          <w:highlight w:val="none"/>
          <w:lang w:val="zh-CN"/>
        </w:rPr>
        <w:t>（格式见第六篇投标文件格式）</w:t>
      </w:r>
    </w:p>
    <w:p>
      <w:pPr>
        <w:spacing w:line="360" w:lineRule="auto"/>
        <w:ind w:left="630" w:hanging="630" w:hangingChars="3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11</w:t>
      </w:r>
      <w:r>
        <w:rPr>
          <w:rFonts w:hAnsi="宋体"/>
          <w:color w:val="auto"/>
          <w:kern w:val="2"/>
          <w:sz w:val="21"/>
          <w:szCs w:val="21"/>
          <w:highlight w:val="none"/>
          <w:lang w:val="zh-CN"/>
        </w:rPr>
        <w:t>.1</w:t>
      </w:r>
      <w:r>
        <w:rPr>
          <w:rFonts w:hint="eastAsia" w:hAnsi="宋体"/>
          <w:color w:val="auto"/>
          <w:kern w:val="2"/>
          <w:sz w:val="21"/>
          <w:szCs w:val="21"/>
          <w:highlight w:val="none"/>
          <w:lang w:val="zh-CN"/>
        </w:rPr>
        <w:t xml:space="preserve"> </w:t>
      </w:r>
      <w:r>
        <w:rPr>
          <w:rFonts w:hint="eastAsia" w:hAnsi="宋体"/>
          <w:bCs/>
          <w:color w:val="auto"/>
          <w:sz w:val="21"/>
          <w:szCs w:val="21"/>
          <w:highlight w:val="none"/>
          <w:lang w:val="zh-CN"/>
        </w:rPr>
        <w:t>资格证明文件</w:t>
      </w:r>
    </w:p>
    <w:p>
      <w:pPr>
        <w:spacing w:line="360" w:lineRule="auto"/>
        <w:ind w:left="630" w:hanging="630" w:hangingChars="300"/>
        <w:jc w:val="both"/>
        <w:rPr>
          <w:rFonts w:hint="eastAsia" w:hAnsi="宋体"/>
          <w:bCs/>
          <w:color w:val="auto"/>
          <w:sz w:val="21"/>
          <w:szCs w:val="21"/>
          <w:highlight w:val="none"/>
        </w:rPr>
      </w:pPr>
      <w:r>
        <w:rPr>
          <w:rFonts w:hint="eastAsia" w:hAnsi="宋体"/>
          <w:color w:val="auto"/>
          <w:kern w:val="2"/>
          <w:sz w:val="21"/>
          <w:szCs w:val="21"/>
          <w:highlight w:val="none"/>
        </w:rPr>
        <w:t xml:space="preserve">11.2 </w:t>
      </w:r>
      <w:r>
        <w:rPr>
          <w:rFonts w:hint="eastAsia" w:hAnsi="宋体"/>
          <w:color w:val="auto"/>
          <w:kern w:val="2"/>
          <w:sz w:val="21"/>
          <w:szCs w:val="21"/>
          <w:highlight w:val="none"/>
          <w:lang w:val="zh-CN"/>
        </w:rPr>
        <w:t>投标文件由价格文件、商务文件、技术文件组成。</w:t>
      </w:r>
    </w:p>
    <w:p>
      <w:pPr>
        <w:spacing w:line="360" w:lineRule="auto"/>
        <w:jc w:val="both"/>
        <w:rPr>
          <w:rFonts w:hAnsi="宋体"/>
          <w:bCs/>
          <w:color w:val="auto"/>
          <w:kern w:val="2"/>
          <w:sz w:val="21"/>
          <w:szCs w:val="21"/>
          <w:highlight w:val="none"/>
          <w:lang w:val="zh-CN"/>
        </w:rPr>
      </w:pPr>
      <w:r>
        <w:rPr>
          <w:rFonts w:hint="eastAsia" w:hAnsi="宋体"/>
          <w:color w:val="auto"/>
          <w:sz w:val="21"/>
          <w:szCs w:val="21"/>
          <w:highlight w:val="none"/>
        </w:rPr>
        <w:t>11</w:t>
      </w:r>
      <w:r>
        <w:rPr>
          <w:rFonts w:hAnsi="宋体"/>
          <w:bCs/>
          <w:color w:val="auto"/>
          <w:kern w:val="2"/>
          <w:sz w:val="21"/>
          <w:szCs w:val="21"/>
          <w:highlight w:val="none"/>
          <w:lang w:val="zh-CN"/>
        </w:rPr>
        <w:t>.</w:t>
      </w:r>
      <w:r>
        <w:rPr>
          <w:rFonts w:hint="eastAsia" w:hAnsi="宋体"/>
          <w:bCs/>
          <w:color w:val="auto"/>
          <w:kern w:val="2"/>
          <w:sz w:val="21"/>
          <w:szCs w:val="21"/>
          <w:highlight w:val="none"/>
        </w:rPr>
        <w:t>3</w:t>
      </w:r>
      <w:r>
        <w:rPr>
          <w:rFonts w:hAnsi="宋体"/>
          <w:bCs/>
          <w:color w:val="auto"/>
          <w:kern w:val="2"/>
          <w:sz w:val="21"/>
          <w:szCs w:val="21"/>
          <w:highlight w:val="none"/>
          <w:lang w:val="zh-CN"/>
        </w:rPr>
        <w:t xml:space="preserve"> </w:t>
      </w:r>
      <w:r>
        <w:rPr>
          <w:rFonts w:hint="eastAsia" w:hAnsi="宋体"/>
          <w:bCs/>
          <w:color w:val="auto"/>
          <w:kern w:val="2"/>
          <w:sz w:val="21"/>
          <w:szCs w:val="21"/>
          <w:highlight w:val="none"/>
          <w:lang w:val="zh-CN"/>
        </w:rPr>
        <w:t>唱标信封</w:t>
      </w:r>
    </w:p>
    <w:p>
      <w:pPr>
        <w:spacing w:line="360" w:lineRule="auto"/>
        <w:rPr>
          <w:rFonts w:hint="eastAsia" w:hAnsi="宋体"/>
          <w:color w:val="auto"/>
          <w:sz w:val="21"/>
          <w:szCs w:val="21"/>
          <w:highlight w:val="none"/>
        </w:rPr>
      </w:pPr>
      <w:r>
        <w:rPr>
          <w:rFonts w:hint="eastAsia" w:hAnsi="宋体"/>
          <w:color w:val="auto"/>
          <w:sz w:val="21"/>
          <w:szCs w:val="21"/>
          <w:highlight w:val="none"/>
          <w:lang w:val="zh-CN"/>
        </w:rPr>
        <w:t>11.</w:t>
      </w:r>
      <w:r>
        <w:rPr>
          <w:rFonts w:hint="eastAsia" w:hAnsi="宋体"/>
          <w:color w:val="auto"/>
          <w:sz w:val="21"/>
          <w:szCs w:val="21"/>
          <w:highlight w:val="none"/>
        </w:rPr>
        <w:t>4</w:t>
      </w:r>
      <w:r>
        <w:rPr>
          <w:rFonts w:hint="eastAsia" w:hAnsi="宋体"/>
          <w:color w:val="auto"/>
          <w:sz w:val="21"/>
          <w:szCs w:val="21"/>
          <w:highlight w:val="none"/>
          <w:lang w:val="zh-CN"/>
        </w:rPr>
        <w:t xml:space="preserve"> 投标人编制投标文件必须包括但不限于上述内容。</w:t>
      </w:r>
    </w:p>
    <w:p>
      <w:pPr>
        <w:tabs>
          <w:tab w:val="left" w:pos="567"/>
        </w:tabs>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w:t>
      </w:r>
      <w:r>
        <w:rPr>
          <w:rFonts w:hint="eastAsia" w:hAnsi="宋体"/>
          <w:color w:val="auto"/>
          <w:kern w:val="2"/>
          <w:sz w:val="21"/>
          <w:szCs w:val="21"/>
          <w:highlight w:val="none"/>
          <w:lang w:val="zh-CN"/>
        </w:rPr>
        <w:t>2</w:t>
      </w:r>
      <w:r>
        <w:rPr>
          <w:rFonts w:hAnsi="宋体"/>
          <w:color w:val="auto"/>
          <w:kern w:val="2"/>
          <w:sz w:val="21"/>
          <w:szCs w:val="21"/>
          <w:highlight w:val="none"/>
          <w:lang w:val="zh-CN"/>
        </w:rPr>
        <w:tab/>
      </w:r>
      <w:r>
        <w:rPr>
          <w:rFonts w:hint="eastAsia" w:hAnsi="宋体"/>
          <w:color w:val="auto"/>
          <w:kern w:val="2"/>
          <w:sz w:val="21"/>
          <w:szCs w:val="21"/>
          <w:highlight w:val="none"/>
          <w:lang w:val="zh-CN"/>
        </w:rPr>
        <w:t>投标报价</w:t>
      </w:r>
    </w:p>
    <w:p>
      <w:pPr>
        <w:tabs>
          <w:tab w:val="left" w:pos="567"/>
        </w:tabs>
        <w:spacing w:line="360" w:lineRule="auto"/>
        <w:ind w:left="567" w:hanging="567"/>
        <w:jc w:val="both"/>
        <w:rPr>
          <w:rFonts w:hint="eastAsia" w:hAnsi="宋体"/>
          <w:b/>
          <w:bCs/>
          <w:color w:val="auto"/>
          <w:kern w:val="2"/>
          <w:sz w:val="21"/>
          <w:szCs w:val="21"/>
          <w:highlight w:val="none"/>
          <w:lang w:val="zh-CN"/>
        </w:rPr>
      </w:pPr>
      <w:r>
        <w:rPr>
          <w:rFonts w:hint="eastAsia" w:hAnsi="宋体"/>
          <w:color w:val="auto"/>
          <w:kern w:val="2"/>
          <w:sz w:val="21"/>
          <w:szCs w:val="21"/>
          <w:highlight w:val="none"/>
        </w:rPr>
        <w:t xml:space="preserve">12.1 </w:t>
      </w:r>
      <w:r>
        <w:rPr>
          <w:rFonts w:hint="eastAsia" w:hAnsi="宋体"/>
          <w:b/>
          <w:bCs/>
          <w:color w:val="auto"/>
          <w:kern w:val="2"/>
          <w:sz w:val="21"/>
          <w:szCs w:val="21"/>
          <w:highlight w:val="none"/>
          <w:lang w:val="zh-CN"/>
        </w:rPr>
        <w:t>本次招标，投标人必须就招标文件用户需求书中所有服务内容进行响应，否则无效。本项目预算详见第一篇投标邀请书，投标人报价超出</w:t>
      </w:r>
      <w:r>
        <w:rPr>
          <w:rFonts w:hint="eastAsia" w:hAnsi="宋体" w:cs="宋体"/>
          <w:b/>
          <w:bCs/>
          <w:color w:val="auto"/>
          <w:sz w:val="21"/>
          <w:szCs w:val="21"/>
          <w:highlight w:val="none"/>
        </w:rPr>
        <w:t>最高限</w:t>
      </w:r>
      <w:r>
        <w:rPr>
          <w:rFonts w:hint="eastAsia" w:hAnsi="宋体"/>
          <w:b/>
          <w:bCs/>
          <w:color w:val="auto"/>
          <w:kern w:val="2"/>
          <w:sz w:val="21"/>
          <w:szCs w:val="21"/>
          <w:highlight w:val="none"/>
          <w:lang w:val="zh-CN"/>
        </w:rPr>
        <w:t>价视为非实质性响应投标而予以拒绝。</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12.2 </w:t>
      </w:r>
      <w:r>
        <w:rPr>
          <w:rFonts w:hint="eastAsia" w:hAnsi="宋体"/>
          <w:color w:val="auto"/>
          <w:kern w:val="2"/>
          <w:sz w:val="21"/>
          <w:szCs w:val="21"/>
          <w:highlight w:val="none"/>
          <w:lang w:val="zh-CN"/>
        </w:rPr>
        <w:t>投标总报价包括招标文件要求全部货物及服务所需的费用、履行合同所有相关内容所需的费用、国家规定的所有税费及其他一切隐含或不可预见的费用。</w:t>
      </w:r>
    </w:p>
    <w:p>
      <w:pPr>
        <w:tabs>
          <w:tab w:val="left" w:pos="567"/>
        </w:tabs>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12.3 </w:t>
      </w:r>
      <w:r>
        <w:rPr>
          <w:rFonts w:hint="eastAsia" w:hAnsi="宋体"/>
          <w:color w:val="auto"/>
          <w:kern w:val="2"/>
          <w:sz w:val="21"/>
          <w:szCs w:val="21"/>
          <w:highlight w:val="none"/>
          <w:lang w:val="zh-CN"/>
        </w:rPr>
        <w:t>投标人应以人民币为结算单位。</w:t>
      </w:r>
    </w:p>
    <w:p>
      <w:pPr>
        <w:tabs>
          <w:tab w:val="left" w:pos="720"/>
          <w:tab w:val="left" w:pos="346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12.</w:t>
      </w:r>
      <w:r>
        <w:rPr>
          <w:rFonts w:hint="eastAsia" w:hAnsi="宋体"/>
          <w:color w:val="auto"/>
          <w:kern w:val="2"/>
          <w:sz w:val="21"/>
          <w:szCs w:val="21"/>
          <w:highlight w:val="none"/>
        </w:rPr>
        <w:t>4</w:t>
      </w:r>
      <w:r>
        <w:rPr>
          <w:rFonts w:hint="eastAsia" w:hAnsi="宋体"/>
          <w:color w:val="auto"/>
          <w:kern w:val="2"/>
          <w:sz w:val="21"/>
          <w:szCs w:val="21"/>
          <w:highlight w:val="none"/>
          <w:lang w:val="zh-CN"/>
        </w:rPr>
        <w:t xml:space="preserve"> 投标人投标总报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报价之内。投标人应自行增加项目正常、合法、安全运行及使用所必需但招标文件没有列明或包含的内容及费用，并在投标文件中加以详细说明，如果投标人在中标并签署合同后，在提供招标范围内的服务工作中出现的任何遗漏，均由中标人免费提供，招标人将不再支付任何费用。对超出常规、具有特别意义或会引起竞争非议的报价须作出特别说明。</w:t>
      </w:r>
    </w:p>
    <w:p>
      <w:pPr>
        <w:tabs>
          <w:tab w:val="left" w:pos="720"/>
          <w:tab w:val="left" w:pos="3460"/>
        </w:tabs>
        <w:spacing w:line="360" w:lineRule="auto"/>
        <w:ind w:left="525" w:hanging="525" w:hangingChars="250"/>
        <w:jc w:val="both"/>
        <w:rPr>
          <w:rFonts w:hAnsi="宋体"/>
          <w:color w:val="auto"/>
          <w:kern w:val="2"/>
          <w:sz w:val="21"/>
          <w:szCs w:val="21"/>
          <w:highlight w:val="none"/>
          <w:lang w:val="zh-CN"/>
        </w:rPr>
      </w:pPr>
      <w:r>
        <w:rPr>
          <w:rFonts w:hAnsi="宋体"/>
          <w:color w:val="auto"/>
          <w:kern w:val="2"/>
          <w:sz w:val="21"/>
          <w:szCs w:val="21"/>
          <w:highlight w:val="none"/>
          <w:lang w:val="zh-CN"/>
        </w:rPr>
        <w:t>1</w:t>
      </w:r>
      <w:r>
        <w:rPr>
          <w:rFonts w:hint="eastAsia" w:hAnsi="宋体"/>
          <w:color w:val="auto"/>
          <w:kern w:val="2"/>
          <w:sz w:val="21"/>
          <w:szCs w:val="21"/>
          <w:highlight w:val="none"/>
          <w:lang w:val="zh-CN"/>
        </w:rPr>
        <w:t>2</w:t>
      </w:r>
      <w:r>
        <w:rPr>
          <w:rFonts w:hAnsi="宋体"/>
          <w:color w:val="auto"/>
          <w:kern w:val="2"/>
          <w:sz w:val="21"/>
          <w:szCs w:val="21"/>
          <w:highlight w:val="none"/>
          <w:lang w:val="zh-CN"/>
        </w:rPr>
        <w:t>.</w:t>
      </w:r>
      <w:r>
        <w:rPr>
          <w:rFonts w:hint="eastAsia" w:hAnsi="宋体"/>
          <w:color w:val="auto"/>
          <w:kern w:val="2"/>
          <w:sz w:val="21"/>
          <w:szCs w:val="21"/>
          <w:highlight w:val="none"/>
        </w:rPr>
        <w:t>5</w:t>
      </w:r>
      <w:r>
        <w:rPr>
          <w:rFonts w:hAnsi="宋体"/>
          <w:color w:val="auto"/>
          <w:kern w:val="2"/>
          <w:sz w:val="21"/>
          <w:szCs w:val="21"/>
          <w:highlight w:val="none"/>
          <w:lang w:val="zh-CN"/>
        </w:rPr>
        <w:tab/>
      </w:r>
      <w:r>
        <w:rPr>
          <w:rFonts w:hint="eastAsia" w:hAnsi="宋体"/>
          <w:color w:val="auto"/>
          <w:kern w:val="2"/>
          <w:sz w:val="21"/>
          <w:szCs w:val="21"/>
          <w:highlight w:val="none"/>
          <w:lang w:val="zh-CN"/>
        </w:rPr>
        <w:t>投标报价不是唯一的或不是固定不变的投标文件将被作为非响应性投标而予以拒绝。投标人所报的投标价在合同执行期间是固定不变的，投标人不得以任何理由予以变更。</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13</w:t>
      </w:r>
      <w:r>
        <w:rPr>
          <w:rFonts w:hAnsi="宋体"/>
          <w:color w:val="auto"/>
          <w:kern w:val="2"/>
          <w:sz w:val="21"/>
          <w:szCs w:val="21"/>
          <w:highlight w:val="none"/>
          <w:lang w:val="zh-CN"/>
        </w:rPr>
        <w:tab/>
      </w:r>
      <w:r>
        <w:rPr>
          <w:rFonts w:hint="eastAsia" w:hAnsi="宋体"/>
          <w:color w:val="auto"/>
          <w:kern w:val="2"/>
          <w:sz w:val="21"/>
          <w:szCs w:val="21"/>
          <w:highlight w:val="none"/>
          <w:lang w:val="zh-CN"/>
        </w:rPr>
        <w:t>证明投标人的合格性的证明文件</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13.1</w:t>
      </w:r>
      <w:r>
        <w:rPr>
          <w:rFonts w:hAnsi="宋体"/>
          <w:color w:val="auto"/>
          <w:kern w:val="2"/>
          <w:sz w:val="21"/>
          <w:szCs w:val="21"/>
          <w:highlight w:val="none"/>
          <w:lang w:val="zh-CN"/>
        </w:rPr>
        <w:tab/>
      </w:r>
      <w:r>
        <w:rPr>
          <w:rFonts w:hint="eastAsia" w:hAnsi="宋体"/>
          <w:color w:val="auto"/>
          <w:kern w:val="2"/>
          <w:sz w:val="21"/>
          <w:szCs w:val="21"/>
          <w:highlight w:val="none"/>
          <w:lang w:val="zh-CN"/>
        </w:rPr>
        <w:t>根据</w:t>
      </w:r>
      <w:r>
        <w:rPr>
          <w:rFonts w:hAnsi="宋体"/>
          <w:color w:val="auto"/>
          <w:kern w:val="2"/>
          <w:sz w:val="21"/>
          <w:szCs w:val="21"/>
          <w:highlight w:val="none"/>
          <w:lang w:val="zh-CN"/>
        </w:rPr>
        <w:fldChar w:fldCharType="begin"/>
      </w:r>
      <w:r>
        <w:rPr>
          <w:rFonts w:hAnsi="宋体"/>
          <w:color w:val="auto"/>
          <w:kern w:val="2"/>
          <w:sz w:val="21"/>
          <w:szCs w:val="21"/>
          <w:highlight w:val="none"/>
          <w:lang w:val="zh-CN"/>
        </w:rPr>
        <w:instrText xml:space="preserve">HYPERLINK "../l"</w:instrText>
      </w:r>
      <w:r>
        <w:rPr>
          <w:rFonts w:hAnsi="宋体"/>
          <w:color w:val="auto"/>
          <w:kern w:val="2"/>
          <w:sz w:val="21"/>
          <w:szCs w:val="21"/>
          <w:highlight w:val="none"/>
          <w:lang w:val="zh-CN"/>
        </w:rPr>
        <w:fldChar w:fldCharType="separate"/>
      </w:r>
      <w:r>
        <w:rPr>
          <w:rFonts w:hint="eastAsia" w:hAnsi="宋体"/>
          <w:color w:val="auto"/>
          <w:kern w:val="2"/>
          <w:sz w:val="21"/>
          <w:szCs w:val="21"/>
          <w:highlight w:val="none"/>
          <w:lang w:val="zh-CN"/>
        </w:rPr>
        <w:t>第</w:t>
      </w:r>
      <w:r>
        <w:rPr>
          <w:rFonts w:hAnsi="宋体"/>
          <w:color w:val="auto"/>
          <w:kern w:val="2"/>
          <w:sz w:val="21"/>
          <w:szCs w:val="21"/>
          <w:highlight w:val="none"/>
          <w:lang w:val="zh-CN"/>
        </w:rPr>
        <w:t>13.2</w:t>
      </w:r>
      <w:r>
        <w:rPr>
          <w:rFonts w:hint="eastAsia" w:hAnsi="宋体"/>
          <w:color w:val="auto"/>
          <w:kern w:val="2"/>
          <w:sz w:val="21"/>
          <w:szCs w:val="21"/>
          <w:highlight w:val="none"/>
          <w:lang w:val="zh-CN"/>
        </w:rPr>
        <w:t>款</w:t>
      </w:r>
      <w:r>
        <w:rPr>
          <w:rFonts w:hAnsi="宋体"/>
          <w:color w:val="auto"/>
          <w:kern w:val="2"/>
          <w:sz w:val="21"/>
          <w:szCs w:val="21"/>
          <w:highlight w:val="none"/>
          <w:lang w:val="zh-CN"/>
        </w:rPr>
        <w:fldChar w:fldCharType="end"/>
      </w:r>
      <w:r>
        <w:rPr>
          <w:rFonts w:hint="eastAsia" w:hAnsi="宋体"/>
          <w:color w:val="auto"/>
          <w:kern w:val="2"/>
          <w:sz w:val="21"/>
          <w:szCs w:val="21"/>
          <w:highlight w:val="none"/>
          <w:lang w:val="zh-CN"/>
        </w:rPr>
        <w:t>规定，投标人须提交证明其有资格进行投标和有能力履行合同的文件，作为投标文件的一部分。</w:t>
      </w:r>
    </w:p>
    <w:p>
      <w:pPr>
        <w:spacing w:line="360" w:lineRule="auto"/>
        <w:ind w:left="567" w:hanging="567"/>
        <w:jc w:val="both"/>
        <w:rPr>
          <w:rFonts w:hAnsi="宋体"/>
          <w:color w:val="auto"/>
          <w:kern w:val="2"/>
          <w:sz w:val="21"/>
          <w:szCs w:val="21"/>
          <w:highlight w:val="none"/>
          <w:vertAlign w:val="superscript"/>
          <w:lang w:val="zh-CN"/>
        </w:rPr>
      </w:pPr>
      <w:r>
        <w:rPr>
          <w:rFonts w:hAnsi="宋体"/>
          <w:color w:val="auto"/>
          <w:kern w:val="2"/>
          <w:sz w:val="21"/>
          <w:szCs w:val="21"/>
          <w:highlight w:val="none"/>
          <w:lang w:val="zh-CN"/>
        </w:rPr>
        <w:t>13.2</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投标人提供的履行合同的资格证明文件</w:t>
      </w:r>
      <w:r>
        <w:rPr>
          <w:rFonts w:hint="eastAsia" w:hAnsi="宋体"/>
          <w:color w:val="auto"/>
          <w:sz w:val="21"/>
          <w:szCs w:val="21"/>
          <w:highlight w:val="none"/>
        </w:rPr>
        <w:t>：详</w:t>
      </w:r>
      <w:r>
        <w:rPr>
          <w:rFonts w:hint="eastAsia" w:hAnsi="宋体"/>
          <w:color w:val="auto"/>
          <w:kern w:val="2"/>
          <w:sz w:val="21"/>
          <w:szCs w:val="21"/>
          <w:highlight w:val="none"/>
          <w:lang w:val="zh-CN"/>
        </w:rPr>
        <w:t>见</w:t>
      </w:r>
      <w:r>
        <w:rPr>
          <w:rFonts w:hint="eastAsia" w:hAnsi="宋体"/>
          <w:color w:val="auto"/>
          <w:sz w:val="21"/>
          <w:szCs w:val="21"/>
          <w:highlight w:val="none"/>
        </w:rPr>
        <w:t>《投标人须知前附表》。</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14</w:t>
      </w:r>
      <w:r>
        <w:rPr>
          <w:rFonts w:hAnsi="宋体"/>
          <w:color w:val="auto"/>
          <w:kern w:val="2"/>
          <w:sz w:val="21"/>
          <w:szCs w:val="21"/>
          <w:highlight w:val="none"/>
          <w:lang w:val="zh-CN"/>
        </w:rPr>
        <w:tab/>
      </w:r>
      <w:r>
        <w:rPr>
          <w:rFonts w:hint="eastAsia" w:hAnsi="宋体"/>
          <w:color w:val="auto"/>
          <w:kern w:val="2"/>
          <w:sz w:val="21"/>
          <w:szCs w:val="21"/>
          <w:highlight w:val="none"/>
          <w:lang w:val="zh-CN"/>
        </w:rPr>
        <w:t>证明货物和服务的合格性并符合招标文件规定的声明文件</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14.1</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投标人须提交证明其所提供的货物和服务的合格性并符合招标文件规定的声明文件，作为投标文件的一部分。</w:t>
      </w:r>
    </w:p>
    <w:p>
      <w:pPr>
        <w:tabs>
          <w:tab w:val="left" w:pos="567"/>
        </w:tabs>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14.2</w:t>
      </w:r>
      <w:r>
        <w:rPr>
          <w:rFonts w:hint="eastAsia" w:hAnsi="宋体"/>
          <w:color w:val="auto"/>
          <w:kern w:val="2"/>
          <w:sz w:val="21"/>
          <w:szCs w:val="21"/>
          <w:highlight w:val="none"/>
          <w:lang w:val="zh-CN"/>
        </w:rPr>
        <w:t xml:space="preserve"> 证明货物和服务与招标文件的要求相一致的文件可以是文字资料、图纸和数据资料。</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14.</w:t>
      </w:r>
      <w:r>
        <w:rPr>
          <w:rFonts w:hint="eastAsia" w:hAnsi="宋体"/>
          <w:color w:val="auto"/>
          <w:kern w:val="2"/>
          <w:sz w:val="21"/>
          <w:szCs w:val="21"/>
          <w:highlight w:val="none"/>
          <w:lang w:val="zh-CN"/>
        </w:rPr>
        <w:t>3 为说明第</w:t>
      </w:r>
      <w:r>
        <w:rPr>
          <w:rFonts w:hAnsi="宋体"/>
          <w:color w:val="auto"/>
          <w:kern w:val="2"/>
          <w:sz w:val="21"/>
          <w:szCs w:val="21"/>
          <w:highlight w:val="none"/>
          <w:lang w:val="zh-CN"/>
        </w:rPr>
        <w:t>14.</w:t>
      </w:r>
      <w:r>
        <w:rPr>
          <w:rFonts w:hint="eastAsia" w:hAnsi="宋体"/>
          <w:color w:val="auto"/>
          <w:kern w:val="2"/>
          <w:sz w:val="21"/>
          <w:szCs w:val="21"/>
          <w:highlight w:val="none"/>
          <w:lang w:val="zh-CN"/>
        </w:rPr>
        <w:t>1款的规定，投标人应注意本招标文件在《用户需求书》中对服务、技术要求所描述的特征或说明等仅系说明并非进行限制，投标人按行业技术和以往的服务经验，投标人可提出替代方案，但该替代方案应相当于或优胜于《用户需求书》中的规定，合格优质的完成招标内容和包含的全部实际工序及服务，以使招标人满意。</w:t>
      </w:r>
      <w:r>
        <w:rPr>
          <w:rFonts w:hAnsi="宋体"/>
          <w:color w:val="auto"/>
          <w:kern w:val="2"/>
          <w:sz w:val="21"/>
          <w:szCs w:val="21"/>
          <w:highlight w:val="none"/>
          <w:lang w:val="zh-CN"/>
        </w:rPr>
        <w:t xml:space="preserve"> </w:t>
      </w:r>
    </w:p>
    <w:p>
      <w:pPr>
        <w:tabs>
          <w:tab w:val="left" w:pos="567"/>
        </w:tabs>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15</w:t>
      </w:r>
      <w:r>
        <w:rPr>
          <w:rFonts w:hAnsi="宋体"/>
          <w:color w:val="auto"/>
          <w:kern w:val="2"/>
          <w:sz w:val="21"/>
          <w:szCs w:val="21"/>
          <w:highlight w:val="none"/>
          <w:lang w:val="zh-CN"/>
        </w:rPr>
        <w:tab/>
      </w:r>
      <w:r>
        <w:rPr>
          <w:rFonts w:hint="eastAsia" w:hAnsi="宋体"/>
          <w:color w:val="auto"/>
          <w:kern w:val="2"/>
          <w:sz w:val="21"/>
          <w:szCs w:val="21"/>
          <w:highlight w:val="none"/>
          <w:lang w:val="zh-CN"/>
        </w:rPr>
        <w:t>投标保证金</w:t>
      </w:r>
    </w:p>
    <w:p>
      <w:pPr>
        <w:tabs>
          <w:tab w:val="left" w:pos="567"/>
        </w:tabs>
        <w:spacing w:line="360" w:lineRule="auto"/>
        <w:ind w:left="567" w:hanging="567"/>
        <w:rPr>
          <w:rFonts w:hint="eastAsia" w:hAnsi="宋体"/>
          <w:b/>
          <w:color w:val="auto"/>
          <w:sz w:val="21"/>
          <w:szCs w:val="21"/>
          <w:highlight w:val="none"/>
        </w:rPr>
      </w:pPr>
      <w:r>
        <w:rPr>
          <w:rFonts w:hint="eastAsia" w:hAnsi="宋体"/>
          <w:b/>
          <w:color w:val="auto"/>
          <w:kern w:val="2"/>
          <w:sz w:val="21"/>
          <w:szCs w:val="21"/>
          <w:highlight w:val="none"/>
          <w:lang w:val="zh-CN"/>
        </w:rPr>
        <w:t xml:space="preserve">15.1 </w:t>
      </w:r>
      <w:r>
        <w:rPr>
          <w:rFonts w:hint="eastAsia" w:hAnsi="宋体"/>
          <w:b/>
          <w:color w:val="auto"/>
          <w:sz w:val="21"/>
          <w:szCs w:val="21"/>
          <w:highlight w:val="none"/>
        </w:rPr>
        <w:t>投标保证金金额及账户信息及方式：详</w:t>
      </w:r>
      <w:r>
        <w:rPr>
          <w:rFonts w:hint="eastAsia" w:hAnsi="宋体"/>
          <w:b/>
          <w:color w:val="auto"/>
          <w:kern w:val="2"/>
          <w:sz w:val="21"/>
          <w:szCs w:val="21"/>
          <w:highlight w:val="none"/>
          <w:lang w:val="zh-CN"/>
        </w:rPr>
        <w:t>见</w:t>
      </w:r>
      <w:r>
        <w:rPr>
          <w:rFonts w:hint="eastAsia" w:hAnsi="宋体"/>
          <w:b/>
          <w:color w:val="auto"/>
          <w:sz w:val="21"/>
          <w:szCs w:val="21"/>
          <w:highlight w:val="none"/>
        </w:rPr>
        <w:t>《投标人须知前附表》。</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15.2 </w:t>
      </w:r>
      <w:r>
        <w:rPr>
          <w:rFonts w:hint="eastAsia" w:hAnsi="宋体"/>
          <w:color w:val="auto"/>
          <w:kern w:val="2"/>
          <w:sz w:val="21"/>
          <w:szCs w:val="21"/>
          <w:highlight w:val="none"/>
          <w:lang w:val="zh-CN"/>
        </w:rPr>
        <w:t>投标人应在投标文件递交截止前提交相应的投标保证金，并作为其投标的一部分。</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15.3 </w:t>
      </w:r>
      <w:r>
        <w:rPr>
          <w:rFonts w:hint="eastAsia" w:hAnsi="宋体"/>
          <w:color w:val="auto"/>
          <w:kern w:val="2"/>
          <w:sz w:val="21"/>
          <w:szCs w:val="21"/>
          <w:highlight w:val="none"/>
          <w:lang w:val="zh-CN"/>
        </w:rPr>
        <w:t>投标保证金是为了保护招标代理机构和招标人免遭因投标人的行为而蒙受的损失。招标代理机构和招标人在因投标人的行为受到损害时可根据本须知（</w:t>
      </w:r>
      <w:r>
        <w:rPr>
          <w:rFonts w:hint="eastAsia" w:hAnsi="宋体"/>
          <w:color w:val="auto"/>
          <w:kern w:val="2"/>
          <w:sz w:val="21"/>
          <w:szCs w:val="21"/>
          <w:highlight w:val="none"/>
        </w:rPr>
        <w:t>15.8</w:t>
      </w:r>
      <w:r>
        <w:rPr>
          <w:rFonts w:hint="eastAsia" w:hAnsi="宋体"/>
          <w:color w:val="auto"/>
          <w:kern w:val="2"/>
          <w:sz w:val="21"/>
          <w:szCs w:val="21"/>
          <w:highlight w:val="none"/>
          <w:lang w:val="zh-CN"/>
        </w:rPr>
        <w:t>）的规定没收投标人的投标保证金。</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15.4</w:t>
      </w:r>
      <w:r>
        <w:rPr>
          <w:rFonts w:hint="eastAsia" w:hAnsi="宋体"/>
          <w:b/>
          <w:bCs/>
          <w:color w:val="auto"/>
          <w:kern w:val="2"/>
          <w:sz w:val="21"/>
          <w:szCs w:val="21"/>
          <w:highlight w:val="none"/>
          <w:lang w:val="zh-CN"/>
        </w:rPr>
        <w:t>★</w:t>
      </w:r>
      <w:r>
        <w:rPr>
          <w:rFonts w:hint="eastAsia" w:hAnsi="宋体"/>
          <w:color w:val="auto"/>
          <w:kern w:val="2"/>
          <w:sz w:val="21"/>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15.5 </w:t>
      </w:r>
      <w:r>
        <w:rPr>
          <w:rFonts w:hint="eastAsia" w:hAnsi="宋体"/>
          <w:color w:val="auto"/>
          <w:kern w:val="2"/>
          <w:sz w:val="21"/>
          <w:szCs w:val="21"/>
          <w:highlight w:val="none"/>
          <w:lang w:val="zh-CN"/>
        </w:rPr>
        <w:t>凡没有根据本须知（</w:t>
      </w:r>
      <w:r>
        <w:rPr>
          <w:rFonts w:hint="eastAsia" w:hAnsi="宋体"/>
          <w:color w:val="auto"/>
          <w:kern w:val="2"/>
          <w:sz w:val="21"/>
          <w:szCs w:val="21"/>
          <w:highlight w:val="none"/>
        </w:rPr>
        <w:t>15.2</w:t>
      </w:r>
      <w:r>
        <w:rPr>
          <w:rFonts w:hint="eastAsia" w:hAnsi="宋体"/>
          <w:color w:val="auto"/>
          <w:kern w:val="2"/>
          <w:sz w:val="21"/>
          <w:szCs w:val="21"/>
          <w:highlight w:val="none"/>
          <w:lang w:val="zh-CN"/>
        </w:rPr>
        <w:t>和</w:t>
      </w:r>
      <w:r>
        <w:rPr>
          <w:rFonts w:hint="eastAsia" w:hAnsi="宋体"/>
          <w:color w:val="auto"/>
          <w:kern w:val="2"/>
          <w:sz w:val="21"/>
          <w:szCs w:val="21"/>
          <w:highlight w:val="none"/>
        </w:rPr>
        <w:t>15.3</w:t>
      </w:r>
      <w:r>
        <w:rPr>
          <w:rFonts w:hint="eastAsia" w:hAnsi="宋体"/>
          <w:color w:val="auto"/>
          <w:kern w:val="2"/>
          <w:sz w:val="21"/>
          <w:szCs w:val="21"/>
          <w:highlight w:val="none"/>
          <w:lang w:val="zh-CN"/>
        </w:rPr>
        <w:t>）的规定随附有效的投标保证金的投标，将被视为非响应性投标予以拒绝。</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15.6 </w:t>
      </w:r>
      <w:r>
        <w:rPr>
          <w:rFonts w:hint="eastAsia" w:hAnsi="宋体"/>
          <w:color w:val="auto"/>
          <w:kern w:val="2"/>
          <w:sz w:val="21"/>
          <w:szCs w:val="21"/>
          <w:highlight w:val="none"/>
          <w:lang w:val="zh-CN"/>
        </w:rPr>
        <w:t>投标保证金有效期应当与投标有效期一致。招标人如果按照招标文件第</w:t>
      </w:r>
      <w:r>
        <w:rPr>
          <w:rFonts w:hint="eastAsia" w:hAnsi="宋体"/>
          <w:color w:val="auto"/>
          <w:kern w:val="2"/>
          <w:sz w:val="21"/>
          <w:szCs w:val="21"/>
          <w:highlight w:val="none"/>
        </w:rPr>
        <w:t>16.3</w:t>
      </w:r>
      <w:r>
        <w:rPr>
          <w:rFonts w:hint="eastAsia" w:hAnsi="宋体"/>
          <w:color w:val="auto"/>
          <w:kern w:val="2"/>
          <w:sz w:val="21"/>
          <w:szCs w:val="21"/>
          <w:highlight w:val="none"/>
          <w:lang w:val="zh-CN"/>
        </w:rPr>
        <w:t>条的规定延长了投标文件有效期，则投标担保的有效期也相应延长。</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15.7 </w:t>
      </w:r>
      <w:r>
        <w:rPr>
          <w:rFonts w:hint="eastAsia" w:hAnsi="宋体"/>
          <w:color w:val="auto"/>
          <w:kern w:val="2"/>
          <w:sz w:val="21"/>
          <w:szCs w:val="21"/>
          <w:highlight w:val="none"/>
          <w:lang w:val="zh-CN"/>
        </w:rPr>
        <w:t>中标人在签订合同并按招标文件第</w:t>
      </w:r>
      <w:r>
        <w:rPr>
          <w:rFonts w:hint="eastAsia" w:hAnsi="宋体"/>
          <w:color w:val="auto"/>
          <w:kern w:val="2"/>
          <w:sz w:val="21"/>
          <w:szCs w:val="21"/>
          <w:highlight w:val="none"/>
        </w:rPr>
        <w:t>36</w:t>
      </w:r>
      <w:r>
        <w:rPr>
          <w:rFonts w:hint="eastAsia" w:hAnsi="宋体"/>
          <w:color w:val="auto"/>
          <w:kern w:val="2"/>
          <w:sz w:val="21"/>
          <w:szCs w:val="21"/>
          <w:highlight w:val="none"/>
          <w:lang w:val="zh-CN"/>
        </w:rPr>
        <w:t>条规定提交履约担保金后，携带退保证金声明函、投标保证金汇款单复印件（加盖公章）和合同正本到招标人处办理投标保证金（无息）退回手续。</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15.8 </w:t>
      </w:r>
      <w:r>
        <w:rPr>
          <w:rFonts w:hint="eastAsia" w:hAnsi="宋体"/>
          <w:color w:val="auto"/>
          <w:kern w:val="2"/>
          <w:sz w:val="21"/>
          <w:szCs w:val="21"/>
          <w:highlight w:val="none"/>
          <w:lang w:val="zh-CN"/>
        </w:rPr>
        <w:t>下列任何情况发生时，投标保证金将不予退还：</w:t>
      </w:r>
    </w:p>
    <w:p>
      <w:pPr>
        <w:numPr>
          <w:ilvl w:val="0"/>
          <w:numId w:val="15"/>
        </w:numPr>
        <w:tabs>
          <w:tab w:val="left" w:pos="993"/>
          <w:tab w:val="clear" w:pos="840"/>
        </w:tabs>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投标人在招标文件中规定的投标有效期内撤回其投标；</w:t>
      </w:r>
    </w:p>
    <w:p>
      <w:pPr>
        <w:numPr>
          <w:ilvl w:val="0"/>
          <w:numId w:val="15"/>
        </w:numPr>
        <w:tabs>
          <w:tab w:val="left" w:pos="993"/>
          <w:tab w:val="clear" w:pos="840"/>
        </w:tabs>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中标人无正当理由不与招标人订立合同，在签订合同时向招标人提出附加条件，或者不按照招标文件要求提交履约</w:t>
      </w:r>
      <w:r>
        <w:rPr>
          <w:rFonts w:hint="eastAsia" w:hAnsi="宋体"/>
          <w:bCs/>
          <w:color w:val="auto"/>
          <w:sz w:val="21"/>
          <w:szCs w:val="21"/>
          <w:highlight w:val="none"/>
        </w:rPr>
        <w:t>担保</w:t>
      </w:r>
      <w:r>
        <w:rPr>
          <w:rFonts w:hint="eastAsia" w:hAnsi="宋体"/>
          <w:color w:val="auto"/>
          <w:kern w:val="2"/>
          <w:sz w:val="21"/>
          <w:szCs w:val="21"/>
          <w:highlight w:val="none"/>
          <w:lang w:val="zh-CN"/>
        </w:rPr>
        <w:t>的；</w:t>
      </w:r>
    </w:p>
    <w:p>
      <w:pPr>
        <w:numPr>
          <w:ilvl w:val="0"/>
          <w:numId w:val="15"/>
        </w:numPr>
        <w:tabs>
          <w:tab w:val="left" w:pos="993"/>
          <w:tab w:val="clear" w:pos="840"/>
        </w:tabs>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中标人将本项目转让给他人，或者在投标文件中未说明，且未经招标人同意，将中标项目分包给他人的；</w:t>
      </w:r>
    </w:p>
    <w:p>
      <w:pPr>
        <w:numPr>
          <w:ilvl w:val="0"/>
          <w:numId w:val="15"/>
        </w:numPr>
        <w:tabs>
          <w:tab w:val="left" w:pos="993"/>
          <w:tab w:val="clear" w:pos="840"/>
        </w:tabs>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投标人提供虚假投标文件或虚假补充文件的（弄虚作假情形详见第</w:t>
      </w:r>
      <w:r>
        <w:rPr>
          <w:rFonts w:hint="eastAsia" w:hAnsi="宋体"/>
          <w:color w:val="auto"/>
          <w:kern w:val="2"/>
          <w:sz w:val="21"/>
          <w:szCs w:val="21"/>
          <w:highlight w:val="none"/>
        </w:rPr>
        <w:t>10.11款</w:t>
      </w:r>
      <w:r>
        <w:rPr>
          <w:rFonts w:hint="eastAsia" w:hAnsi="宋体"/>
          <w:color w:val="auto"/>
          <w:kern w:val="2"/>
          <w:sz w:val="21"/>
          <w:szCs w:val="21"/>
          <w:highlight w:val="none"/>
          <w:lang w:val="zh-CN"/>
        </w:rPr>
        <w:t>）。</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rPr>
        <w:t xml:space="preserve">15.9 </w:t>
      </w:r>
      <w:r>
        <w:rPr>
          <w:rFonts w:hint="eastAsia" w:hAnsi="宋体"/>
          <w:color w:val="auto"/>
          <w:kern w:val="2"/>
          <w:sz w:val="21"/>
          <w:szCs w:val="21"/>
          <w:highlight w:val="none"/>
          <w:lang w:val="zh-CN"/>
        </w:rPr>
        <w:t>在中标通知书发出后，未中标投标人的投标保证金，由招标人自行返还至投标人的原转出帐户。</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16</w:t>
      </w:r>
      <w:r>
        <w:rPr>
          <w:rFonts w:hAnsi="宋体"/>
          <w:color w:val="auto"/>
          <w:kern w:val="2"/>
          <w:sz w:val="21"/>
          <w:szCs w:val="21"/>
          <w:highlight w:val="none"/>
          <w:lang w:val="zh-CN"/>
        </w:rPr>
        <w:tab/>
      </w:r>
      <w:r>
        <w:rPr>
          <w:rFonts w:hint="eastAsia" w:hAnsi="宋体"/>
          <w:color w:val="auto"/>
          <w:kern w:val="2"/>
          <w:sz w:val="21"/>
          <w:szCs w:val="21"/>
          <w:highlight w:val="none"/>
          <w:lang w:val="zh-CN"/>
        </w:rPr>
        <w:t>投标有效期</w:t>
      </w:r>
    </w:p>
    <w:p>
      <w:pPr>
        <w:tabs>
          <w:tab w:val="left" w:pos="567"/>
        </w:tabs>
        <w:spacing w:line="360" w:lineRule="auto"/>
        <w:ind w:left="567" w:hanging="567"/>
        <w:jc w:val="both"/>
        <w:rPr>
          <w:rFonts w:hAnsi="宋体"/>
          <w:b/>
          <w:bCs/>
          <w:color w:val="auto"/>
          <w:kern w:val="2"/>
          <w:sz w:val="21"/>
          <w:szCs w:val="21"/>
          <w:highlight w:val="none"/>
          <w:lang w:val="zh-CN"/>
        </w:rPr>
      </w:pPr>
      <w:r>
        <w:rPr>
          <w:rFonts w:hAnsi="宋体"/>
          <w:color w:val="auto"/>
          <w:kern w:val="2"/>
          <w:sz w:val="21"/>
          <w:szCs w:val="21"/>
          <w:highlight w:val="none"/>
          <w:lang w:val="zh-CN"/>
        </w:rPr>
        <w:t>16.1</w:t>
      </w:r>
      <w:r>
        <w:rPr>
          <w:rFonts w:hAnsi="宋体"/>
          <w:color w:val="auto"/>
          <w:kern w:val="2"/>
          <w:sz w:val="21"/>
          <w:szCs w:val="21"/>
          <w:highlight w:val="none"/>
          <w:lang w:val="zh-CN"/>
        </w:rPr>
        <w:tab/>
      </w:r>
      <w:r>
        <w:rPr>
          <w:rFonts w:hint="eastAsia" w:hAnsi="宋体"/>
          <w:b/>
          <w:color w:val="auto"/>
          <w:kern w:val="2"/>
          <w:sz w:val="21"/>
          <w:szCs w:val="21"/>
          <w:highlight w:val="none"/>
          <w:lang w:val="zh-CN"/>
        </w:rPr>
        <w:t>投标文件应在</w:t>
      </w:r>
      <w:r>
        <w:rPr>
          <w:rFonts w:hint="eastAsia" w:hAnsi="宋体"/>
          <w:b/>
          <w:color w:val="auto"/>
          <w:sz w:val="21"/>
          <w:szCs w:val="21"/>
          <w:highlight w:val="none"/>
        </w:rPr>
        <w:t>《投标人须知前附表》</w:t>
      </w:r>
      <w:r>
        <w:rPr>
          <w:rFonts w:hint="eastAsia" w:hAnsi="宋体"/>
          <w:b/>
          <w:color w:val="auto"/>
          <w:kern w:val="2"/>
          <w:sz w:val="21"/>
          <w:szCs w:val="21"/>
          <w:highlight w:val="none"/>
          <w:lang w:val="zh-CN"/>
        </w:rPr>
        <w:t>规定的时间内保持有效。投标有效期比规定时间短的将被视为非响应性投标而予以拒绝。</w:t>
      </w:r>
    </w:p>
    <w:p>
      <w:pPr>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16.2</w:t>
      </w:r>
      <w:r>
        <w:rPr>
          <w:rFonts w:hAnsi="宋体"/>
          <w:color w:val="auto"/>
          <w:kern w:val="2"/>
          <w:sz w:val="21"/>
          <w:szCs w:val="21"/>
          <w:highlight w:val="none"/>
          <w:lang w:val="zh-CN"/>
        </w:rPr>
        <w:tab/>
      </w:r>
      <w:r>
        <w:rPr>
          <w:rFonts w:hint="eastAsia" w:hAnsi="宋体"/>
          <w:color w:val="auto"/>
          <w:kern w:val="2"/>
          <w:sz w:val="21"/>
          <w:szCs w:val="21"/>
          <w:highlight w:val="none"/>
          <w:lang w:val="zh-CN"/>
        </w:rPr>
        <w:t>中标人的投标文件作为合同附件，合同失效时同时失效。</w:t>
      </w:r>
    </w:p>
    <w:p>
      <w:pPr>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16.3</w:t>
      </w:r>
      <w:r>
        <w:rPr>
          <w:rFonts w:hAnsi="宋体"/>
          <w:color w:val="auto"/>
          <w:kern w:val="2"/>
          <w:sz w:val="21"/>
          <w:szCs w:val="21"/>
          <w:highlight w:val="none"/>
          <w:lang w:val="zh-CN"/>
        </w:rPr>
        <w:tab/>
      </w:r>
      <w:r>
        <w:rPr>
          <w:rFonts w:hint="eastAsia" w:hAnsi="宋体"/>
          <w:color w:val="auto"/>
          <w:kern w:val="2"/>
          <w:sz w:val="21"/>
          <w:szCs w:val="21"/>
          <w:highlight w:val="none"/>
          <w:lang w:val="zh-CN"/>
        </w:rPr>
        <w:t>在特殊情况下，招标代理机构可于投标有效期满之前要求投标人同意延长有效期。要求与答复均应为书面形式往来。投标人可以拒绝上述要求而其投标保证金不被没收。对于同意该要求的投标人，既不要求也不允许其修改投标文件，但将要求其相应延长投标保证金的有效期。第</w:t>
      </w:r>
      <w:r>
        <w:rPr>
          <w:rFonts w:hAnsi="宋体"/>
          <w:color w:val="auto"/>
          <w:kern w:val="2"/>
          <w:sz w:val="21"/>
          <w:szCs w:val="21"/>
          <w:highlight w:val="none"/>
          <w:lang w:val="zh-CN"/>
        </w:rPr>
        <w:t>15</w:t>
      </w:r>
      <w:r>
        <w:rPr>
          <w:rFonts w:hint="eastAsia" w:hAnsi="宋体"/>
          <w:color w:val="auto"/>
          <w:kern w:val="2"/>
          <w:sz w:val="21"/>
          <w:szCs w:val="21"/>
          <w:highlight w:val="none"/>
          <w:lang w:val="zh-CN"/>
        </w:rPr>
        <w:t>款投标保证金的有关规定在投标保证金延长期内仍适用。</w:t>
      </w:r>
    </w:p>
    <w:p>
      <w:pPr>
        <w:tabs>
          <w:tab w:val="left" w:pos="567"/>
        </w:tabs>
        <w:spacing w:line="360" w:lineRule="auto"/>
        <w:ind w:left="567" w:hanging="567"/>
        <w:jc w:val="both"/>
        <w:rPr>
          <w:rFonts w:hAnsi="宋体"/>
          <w:b/>
          <w:bCs/>
          <w:color w:val="auto"/>
          <w:kern w:val="2"/>
          <w:sz w:val="21"/>
          <w:szCs w:val="21"/>
          <w:highlight w:val="none"/>
          <w:lang w:val="zh-CN"/>
        </w:rPr>
      </w:pPr>
      <w:r>
        <w:rPr>
          <w:rFonts w:hAnsi="宋体"/>
          <w:b/>
          <w:bCs/>
          <w:color w:val="auto"/>
          <w:kern w:val="2"/>
          <w:sz w:val="21"/>
          <w:szCs w:val="21"/>
          <w:highlight w:val="none"/>
          <w:lang w:val="zh-CN"/>
        </w:rPr>
        <w:t>17</w:t>
      </w:r>
      <w:r>
        <w:rPr>
          <w:rFonts w:hAnsi="宋体"/>
          <w:b/>
          <w:bCs/>
          <w:color w:val="auto"/>
          <w:kern w:val="2"/>
          <w:sz w:val="21"/>
          <w:szCs w:val="21"/>
          <w:highlight w:val="none"/>
          <w:lang w:val="zh-CN"/>
        </w:rPr>
        <w:tab/>
      </w:r>
      <w:r>
        <w:rPr>
          <w:rFonts w:hint="eastAsia" w:hAnsi="宋体"/>
          <w:b/>
          <w:bCs/>
          <w:color w:val="auto"/>
          <w:kern w:val="2"/>
          <w:sz w:val="21"/>
          <w:szCs w:val="21"/>
          <w:highlight w:val="none"/>
          <w:lang w:val="zh-CN"/>
        </w:rPr>
        <w:t>投标文件的式样和签署</w:t>
      </w:r>
    </w:p>
    <w:p>
      <w:pPr>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17.1</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投标人应准备投标文件一份正本和</w:t>
      </w:r>
      <w:r>
        <w:rPr>
          <w:rFonts w:hint="eastAsia" w:hAnsi="宋体"/>
          <w:color w:val="auto"/>
          <w:sz w:val="21"/>
          <w:szCs w:val="21"/>
          <w:highlight w:val="none"/>
        </w:rPr>
        <w:t>《投标人须知前附表》</w:t>
      </w:r>
      <w:r>
        <w:rPr>
          <w:rFonts w:hint="eastAsia" w:hAnsi="宋体"/>
          <w:color w:val="auto"/>
          <w:kern w:val="2"/>
          <w:sz w:val="21"/>
          <w:szCs w:val="21"/>
          <w:highlight w:val="none"/>
          <w:lang w:val="zh-CN"/>
        </w:rPr>
        <w:t>规定的副本份数，</w:t>
      </w:r>
      <w:r>
        <w:rPr>
          <w:rFonts w:hint="eastAsia" w:hAnsi="宋体"/>
          <w:color w:val="auto"/>
          <w:sz w:val="21"/>
          <w:szCs w:val="21"/>
          <w:highlight w:val="none"/>
        </w:rPr>
        <w:t>每一份投标文件均需编上页次，装订成册（</w:t>
      </w:r>
      <w:r>
        <w:rPr>
          <w:rFonts w:hint="eastAsia" w:hAnsi="宋体"/>
          <w:b/>
          <w:color w:val="auto"/>
          <w:sz w:val="21"/>
          <w:szCs w:val="21"/>
          <w:highlight w:val="none"/>
        </w:rPr>
        <w:t>不允许使用活页夹</w:t>
      </w:r>
      <w:r>
        <w:rPr>
          <w:rFonts w:hint="eastAsia" w:hAnsi="宋体"/>
          <w:color w:val="auto"/>
          <w:sz w:val="21"/>
          <w:szCs w:val="21"/>
          <w:highlight w:val="none"/>
        </w:rPr>
        <w:t>），并要明确注明 “正本”或“副本”字样，一旦正本和副本发现差异，以正本为准。</w:t>
      </w:r>
      <w:r>
        <w:rPr>
          <w:rFonts w:hint="eastAsia" w:hAnsi="宋体"/>
          <w:color w:val="auto"/>
          <w:kern w:val="2"/>
          <w:sz w:val="21"/>
          <w:szCs w:val="21"/>
          <w:highlight w:val="none"/>
          <w:lang w:val="zh-CN"/>
        </w:rPr>
        <w:t>所有投标文件必须封入密封完好的信封或包装，封口加盖公章。</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17.2</w:t>
      </w:r>
      <w:r>
        <w:rPr>
          <w:rFonts w:hAnsi="宋体"/>
          <w:color w:val="auto"/>
          <w:kern w:val="2"/>
          <w:sz w:val="21"/>
          <w:szCs w:val="21"/>
          <w:highlight w:val="none"/>
          <w:lang w:val="zh-CN"/>
        </w:rPr>
        <w:tab/>
      </w:r>
      <w:r>
        <w:rPr>
          <w:rFonts w:hint="eastAsia" w:hAnsi="宋体"/>
          <w:bCs/>
          <w:color w:val="auto"/>
          <w:kern w:val="2"/>
          <w:sz w:val="21"/>
          <w:szCs w:val="21"/>
          <w:highlight w:val="none"/>
          <w:lang w:val="zh-CN"/>
        </w:rPr>
        <w:t>投标文件正本和副本须打印或用不褪色墨水书写，由投标人法定代表人或其授权代表签名，后者须将</w:t>
      </w:r>
      <w:r>
        <w:rPr>
          <w:rFonts w:hAnsi="宋体"/>
          <w:bCs/>
          <w:color w:val="auto"/>
          <w:kern w:val="2"/>
          <w:sz w:val="21"/>
          <w:szCs w:val="21"/>
          <w:highlight w:val="none"/>
          <w:lang w:val="zh-CN"/>
        </w:rPr>
        <w:t>“</w:t>
      </w:r>
      <w:r>
        <w:rPr>
          <w:rFonts w:hint="eastAsia" w:hAnsi="宋体"/>
          <w:bCs/>
          <w:color w:val="auto"/>
          <w:kern w:val="2"/>
          <w:sz w:val="21"/>
          <w:szCs w:val="21"/>
          <w:highlight w:val="none"/>
          <w:lang w:val="zh-CN"/>
        </w:rPr>
        <w:t>法人授权委托证明书</w:t>
      </w:r>
      <w:r>
        <w:rPr>
          <w:rFonts w:hAnsi="宋体"/>
          <w:bCs/>
          <w:color w:val="auto"/>
          <w:kern w:val="2"/>
          <w:sz w:val="21"/>
          <w:szCs w:val="21"/>
          <w:highlight w:val="none"/>
          <w:lang w:val="zh-CN"/>
        </w:rPr>
        <w:t>”</w:t>
      </w:r>
      <w:r>
        <w:rPr>
          <w:rFonts w:hint="eastAsia" w:hAnsi="宋体"/>
          <w:bCs/>
          <w:color w:val="auto"/>
          <w:kern w:val="2"/>
          <w:sz w:val="21"/>
          <w:szCs w:val="21"/>
          <w:highlight w:val="none"/>
          <w:lang w:val="zh-CN"/>
        </w:rPr>
        <w:t>以书面形式附在投标文件中。</w:t>
      </w:r>
      <w:r>
        <w:rPr>
          <w:rFonts w:hint="eastAsia" w:hAnsi="宋体"/>
          <w:color w:val="auto"/>
          <w:kern w:val="2"/>
          <w:sz w:val="21"/>
          <w:szCs w:val="21"/>
          <w:highlight w:val="none"/>
          <w:lang w:val="zh-CN"/>
        </w:rPr>
        <w:t>副本文件可由正本文件复印而成。</w:t>
      </w:r>
    </w:p>
    <w:p>
      <w:pPr>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17.3</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投标文件须由投标人的合法授权代表正式签署，投标人除可对投标文件的错处作必要修改外，投标文件中不许有加行、涂抹或改写。</w:t>
      </w:r>
      <w:r>
        <w:rPr>
          <w:rFonts w:hint="eastAsia" w:hAnsi="宋体"/>
          <w:b/>
          <w:color w:val="auto"/>
          <w:kern w:val="2"/>
          <w:sz w:val="21"/>
          <w:szCs w:val="21"/>
          <w:highlight w:val="none"/>
          <w:lang w:val="zh-CN"/>
        </w:rPr>
        <w:t>任何涂改或修正（如有）须由原签署人签名确认</w:t>
      </w:r>
      <w:r>
        <w:rPr>
          <w:rFonts w:hint="eastAsia" w:hAnsi="宋体"/>
          <w:b/>
          <w:bCs/>
          <w:color w:val="auto"/>
          <w:kern w:val="2"/>
          <w:sz w:val="21"/>
          <w:szCs w:val="21"/>
          <w:highlight w:val="none"/>
          <w:lang w:val="zh-CN"/>
        </w:rPr>
        <w:t>，并加盖公章。</w:t>
      </w:r>
    </w:p>
    <w:p>
      <w:pPr>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17.4</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w:t>
      </w:r>
      <w:r>
        <w:rPr>
          <w:rFonts w:hAnsi="宋体"/>
          <w:color w:val="auto"/>
          <w:kern w:val="2"/>
          <w:sz w:val="21"/>
          <w:szCs w:val="21"/>
          <w:highlight w:val="none"/>
          <w:lang w:val="zh-CN"/>
        </w:rPr>
        <w:t>[</w:t>
      </w:r>
      <w:r>
        <w:rPr>
          <w:rFonts w:hint="eastAsia" w:hAnsi="宋体"/>
          <w:color w:val="auto"/>
          <w:kern w:val="2"/>
          <w:sz w:val="21"/>
          <w:szCs w:val="21"/>
          <w:highlight w:val="none"/>
          <w:lang w:val="zh-CN"/>
        </w:rPr>
        <w:t>正本</w:t>
      </w:r>
      <w:r>
        <w:rPr>
          <w:rFonts w:hAnsi="宋体"/>
          <w:color w:val="auto"/>
          <w:kern w:val="2"/>
          <w:sz w:val="21"/>
          <w:szCs w:val="21"/>
          <w:highlight w:val="none"/>
          <w:lang w:val="zh-CN"/>
        </w:rPr>
        <w:t>]</w:t>
      </w:r>
      <w:r>
        <w:rPr>
          <w:rFonts w:hint="eastAsia" w:hAnsi="宋体"/>
          <w:color w:val="auto"/>
          <w:kern w:val="2"/>
          <w:sz w:val="21"/>
          <w:szCs w:val="21"/>
          <w:highlight w:val="none"/>
          <w:lang w:val="zh-CN"/>
        </w:rPr>
        <w:t>及所有</w:t>
      </w:r>
      <w:r>
        <w:rPr>
          <w:rFonts w:hAnsi="宋体"/>
          <w:color w:val="auto"/>
          <w:kern w:val="2"/>
          <w:sz w:val="21"/>
          <w:szCs w:val="21"/>
          <w:highlight w:val="none"/>
          <w:lang w:val="zh-CN"/>
        </w:rPr>
        <w:t>[</w:t>
      </w:r>
      <w:r>
        <w:rPr>
          <w:rFonts w:hint="eastAsia" w:hAnsi="宋体"/>
          <w:color w:val="auto"/>
          <w:kern w:val="2"/>
          <w:sz w:val="21"/>
          <w:szCs w:val="21"/>
          <w:highlight w:val="none"/>
          <w:lang w:val="zh-CN"/>
        </w:rPr>
        <w:t>副本</w:t>
      </w:r>
      <w:r>
        <w:rPr>
          <w:rFonts w:hAnsi="宋体"/>
          <w:color w:val="auto"/>
          <w:kern w:val="2"/>
          <w:sz w:val="21"/>
          <w:szCs w:val="21"/>
          <w:highlight w:val="none"/>
          <w:lang w:val="zh-CN"/>
        </w:rPr>
        <w:t>]</w:t>
      </w:r>
      <w:r>
        <w:rPr>
          <w:rFonts w:hint="eastAsia" w:hAnsi="宋体"/>
          <w:color w:val="auto"/>
          <w:kern w:val="2"/>
          <w:sz w:val="21"/>
          <w:szCs w:val="21"/>
          <w:highlight w:val="none"/>
          <w:lang w:val="zh-CN"/>
        </w:rPr>
        <w:t>的</w:t>
      </w:r>
      <w:r>
        <w:rPr>
          <w:rFonts w:hint="eastAsia" w:hAnsi="宋体"/>
          <w:b/>
          <w:color w:val="auto"/>
          <w:kern w:val="2"/>
          <w:sz w:val="21"/>
          <w:szCs w:val="21"/>
          <w:highlight w:val="none"/>
          <w:lang w:val="zh-CN"/>
        </w:rPr>
        <w:t>封面及骑缝</w:t>
      </w:r>
      <w:r>
        <w:rPr>
          <w:rFonts w:hint="eastAsia" w:hAnsi="宋体"/>
          <w:color w:val="auto"/>
          <w:kern w:val="2"/>
          <w:sz w:val="21"/>
          <w:szCs w:val="21"/>
          <w:highlight w:val="none"/>
          <w:lang w:val="zh-CN"/>
        </w:rPr>
        <w:t>均须由投标人加盖公章。</w:t>
      </w:r>
    </w:p>
    <w:p>
      <w:pPr>
        <w:spacing w:line="360" w:lineRule="auto"/>
        <w:ind w:left="567" w:hanging="567"/>
        <w:jc w:val="both"/>
        <w:rPr>
          <w:rFonts w:hAnsi="宋体"/>
          <w:b/>
          <w:bCs/>
          <w:color w:val="auto"/>
          <w:kern w:val="2"/>
          <w:sz w:val="21"/>
          <w:szCs w:val="21"/>
          <w:highlight w:val="none"/>
          <w:u w:val="single"/>
          <w:lang w:val="zh-CN"/>
        </w:rPr>
      </w:pPr>
      <w:r>
        <w:rPr>
          <w:rFonts w:hAnsi="宋体"/>
          <w:color w:val="auto"/>
          <w:kern w:val="2"/>
          <w:sz w:val="21"/>
          <w:szCs w:val="21"/>
          <w:highlight w:val="none"/>
          <w:lang w:val="zh-CN"/>
        </w:rPr>
        <w:t>17.5</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投标文件的封面应注明</w:t>
      </w:r>
      <w:r>
        <w:rPr>
          <w:rFonts w:hAnsi="宋体"/>
          <w:color w:val="auto"/>
          <w:kern w:val="2"/>
          <w:sz w:val="21"/>
          <w:szCs w:val="21"/>
          <w:highlight w:val="none"/>
          <w:lang w:val="zh-CN"/>
        </w:rPr>
        <w:t>“</w:t>
      </w:r>
      <w:r>
        <w:rPr>
          <w:rFonts w:hint="eastAsia" w:hAnsi="宋体"/>
          <w:color w:val="auto"/>
          <w:kern w:val="2"/>
          <w:sz w:val="21"/>
          <w:szCs w:val="21"/>
          <w:highlight w:val="none"/>
          <w:lang w:val="zh-CN"/>
        </w:rPr>
        <w:t>招标项目名称、项目编号、投标人名称、投标日期等</w:t>
      </w:r>
      <w:r>
        <w:rPr>
          <w:rFonts w:hAnsi="宋体"/>
          <w:color w:val="auto"/>
          <w:kern w:val="2"/>
          <w:sz w:val="21"/>
          <w:szCs w:val="21"/>
          <w:highlight w:val="none"/>
          <w:lang w:val="zh-CN"/>
        </w:rPr>
        <w:t>”</w:t>
      </w:r>
      <w:r>
        <w:rPr>
          <w:rFonts w:hint="eastAsia" w:hAnsi="宋体"/>
          <w:color w:val="auto"/>
          <w:kern w:val="2"/>
          <w:sz w:val="21"/>
          <w:szCs w:val="21"/>
          <w:highlight w:val="none"/>
          <w:lang w:val="zh-CN"/>
        </w:rPr>
        <w:t>。</w:t>
      </w:r>
    </w:p>
    <w:p>
      <w:pPr>
        <w:spacing w:line="360" w:lineRule="auto"/>
        <w:ind w:left="567" w:hanging="567"/>
        <w:jc w:val="both"/>
        <w:rPr>
          <w:rFonts w:hAnsi="宋体"/>
          <w:b/>
          <w:bCs/>
          <w:color w:val="auto"/>
          <w:kern w:val="2"/>
          <w:sz w:val="21"/>
          <w:szCs w:val="21"/>
          <w:highlight w:val="none"/>
          <w:lang w:val="zh-CN"/>
        </w:rPr>
      </w:pPr>
      <w:r>
        <w:rPr>
          <w:rFonts w:hAnsi="宋体"/>
          <w:color w:val="auto"/>
          <w:kern w:val="2"/>
          <w:sz w:val="21"/>
          <w:szCs w:val="21"/>
          <w:highlight w:val="none"/>
          <w:lang w:val="zh-CN"/>
        </w:rPr>
        <w:t>17.6</w:t>
      </w:r>
      <w:r>
        <w:rPr>
          <w:rFonts w:hAnsi="宋体"/>
          <w:color w:val="auto"/>
          <w:kern w:val="2"/>
          <w:sz w:val="21"/>
          <w:szCs w:val="21"/>
          <w:highlight w:val="none"/>
          <w:lang w:val="zh-CN"/>
        </w:rPr>
        <w:tab/>
      </w:r>
      <w:r>
        <w:rPr>
          <w:rFonts w:hint="eastAsia" w:hAnsi="宋体"/>
          <w:color w:val="auto"/>
          <w:kern w:val="2"/>
          <w:sz w:val="21"/>
          <w:szCs w:val="21"/>
          <w:highlight w:val="none"/>
          <w:lang w:val="zh-CN"/>
        </w:rPr>
        <w:t>电子文件用</w:t>
      </w:r>
      <w:r>
        <w:rPr>
          <w:rFonts w:hAnsi="宋体"/>
          <w:color w:val="auto"/>
          <w:kern w:val="2"/>
          <w:sz w:val="21"/>
          <w:szCs w:val="21"/>
          <w:highlight w:val="none"/>
          <w:lang w:val="zh-CN"/>
        </w:rPr>
        <w:t>U</w:t>
      </w:r>
      <w:r>
        <w:rPr>
          <w:rFonts w:hint="eastAsia" w:hAnsi="宋体"/>
          <w:color w:val="auto"/>
          <w:kern w:val="2"/>
          <w:sz w:val="21"/>
          <w:szCs w:val="21"/>
          <w:highlight w:val="none"/>
          <w:lang w:val="zh-CN"/>
        </w:rPr>
        <w:t>盘或光盘储存，并密封于</w:t>
      </w:r>
      <w:r>
        <w:rPr>
          <w:rFonts w:hAnsi="宋体"/>
          <w:color w:val="auto"/>
          <w:kern w:val="2"/>
          <w:sz w:val="21"/>
          <w:szCs w:val="21"/>
          <w:highlight w:val="none"/>
          <w:lang w:val="zh-CN"/>
        </w:rPr>
        <w:t>“</w:t>
      </w:r>
      <w:r>
        <w:rPr>
          <w:rFonts w:hint="eastAsia" w:hAnsi="宋体"/>
          <w:color w:val="auto"/>
          <w:kern w:val="2"/>
          <w:sz w:val="21"/>
          <w:szCs w:val="21"/>
          <w:highlight w:val="none"/>
          <w:lang w:val="zh-CN"/>
        </w:rPr>
        <w:t>唱标信封</w:t>
      </w:r>
      <w:r>
        <w:rPr>
          <w:rFonts w:hAnsi="宋体"/>
          <w:color w:val="auto"/>
          <w:kern w:val="2"/>
          <w:sz w:val="21"/>
          <w:szCs w:val="21"/>
          <w:highlight w:val="none"/>
          <w:lang w:val="zh-CN"/>
        </w:rPr>
        <w:t>”</w:t>
      </w:r>
      <w:r>
        <w:rPr>
          <w:rFonts w:hint="eastAsia" w:hAnsi="宋体"/>
          <w:color w:val="auto"/>
          <w:kern w:val="2"/>
          <w:sz w:val="21"/>
          <w:szCs w:val="21"/>
          <w:highlight w:val="none"/>
          <w:lang w:val="zh-CN"/>
        </w:rPr>
        <w:t>内。</w:t>
      </w:r>
    </w:p>
    <w:p>
      <w:pPr>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17.7</w:t>
      </w:r>
      <w:r>
        <w:rPr>
          <w:rFonts w:hAnsi="宋体"/>
          <w:color w:val="auto"/>
          <w:kern w:val="2"/>
          <w:sz w:val="21"/>
          <w:szCs w:val="21"/>
          <w:highlight w:val="none"/>
          <w:lang w:val="zh-CN"/>
        </w:rPr>
        <w:tab/>
      </w:r>
      <w:r>
        <w:rPr>
          <w:rFonts w:hint="eastAsia" w:hAnsi="宋体"/>
          <w:color w:val="auto"/>
          <w:kern w:val="2"/>
          <w:sz w:val="21"/>
          <w:szCs w:val="21"/>
          <w:highlight w:val="none"/>
          <w:lang w:val="zh-CN"/>
        </w:rPr>
        <w:t>电报、电传、传真的投标概不接受。</w:t>
      </w:r>
    </w:p>
    <w:p>
      <w:pPr>
        <w:pStyle w:val="4"/>
        <w:spacing w:line="360" w:lineRule="auto"/>
        <w:rPr>
          <w:rFonts w:hAnsi="宋体"/>
          <w:b/>
          <w:bCs/>
          <w:color w:val="auto"/>
          <w:kern w:val="44"/>
          <w:sz w:val="21"/>
          <w:szCs w:val="21"/>
          <w:highlight w:val="none"/>
          <w:lang w:val="zh-CN"/>
        </w:rPr>
      </w:pPr>
      <w:bookmarkStart w:id="15" w:name="_Toc396137236"/>
      <w:bookmarkStart w:id="16" w:name="_Toc18867"/>
      <w:r>
        <w:rPr>
          <w:rFonts w:hint="eastAsia" w:hAnsi="宋体"/>
          <w:b/>
          <w:bCs/>
          <w:color w:val="auto"/>
          <w:kern w:val="44"/>
          <w:sz w:val="21"/>
          <w:szCs w:val="21"/>
          <w:highlight w:val="none"/>
          <w:lang w:val="zh-CN"/>
        </w:rPr>
        <w:t>（四）投标文件的密封、递交</w:t>
      </w:r>
      <w:bookmarkEnd w:id="15"/>
      <w:bookmarkEnd w:id="16"/>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18</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投标文件的密封和标记：</w:t>
      </w:r>
    </w:p>
    <w:p>
      <w:pPr>
        <w:tabs>
          <w:tab w:val="left" w:pos="567"/>
        </w:tabs>
        <w:spacing w:line="360" w:lineRule="auto"/>
        <w:ind w:left="567" w:right="18"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18.1</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投标人应将投标文件（不含资格证明文件和唱标信封）密封在一个不透明的外层封装中。</w:t>
      </w:r>
    </w:p>
    <w:p>
      <w:pPr>
        <w:tabs>
          <w:tab w:val="left" w:pos="567"/>
        </w:tabs>
        <w:spacing w:line="360" w:lineRule="auto"/>
        <w:ind w:left="567" w:right="18"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w:t>
      </w:r>
      <w:r>
        <w:rPr>
          <w:rFonts w:hint="eastAsia" w:hAnsi="宋体"/>
          <w:color w:val="auto"/>
          <w:kern w:val="2"/>
          <w:sz w:val="21"/>
          <w:szCs w:val="21"/>
          <w:highlight w:val="none"/>
          <w:lang w:val="zh-CN"/>
        </w:rPr>
        <w:t>8</w:t>
      </w:r>
      <w:r>
        <w:rPr>
          <w:rFonts w:hAnsi="宋体"/>
          <w:color w:val="auto"/>
          <w:kern w:val="2"/>
          <w:sz w:val="21"/>
          <w:szCs w:val="21"/>
          <w:highlight w:val="none"/>
          <w:lang w:val="zh-CN"/>
        </w:rPr>
        <w:t>.</w:t>
      </w:r>
      <w:r>
        <w:rPr>
          <w:rFonts w:hint="eastAsia" w:hAnsi="宋体"/>
          <w:color w:val="auto"/>
          <w:kern w:val="2"/>
          <w:sz w:val="21"/>
          <w:szCs w:val="21"/>
          <w:highlight w:val="none"/>
          <w:lang w:val="zh-CN"/>
        </w:rPr>
        <w:t>2</w:t>
      </w:r>
      <w:r>
        <w:rPr>
          <w:rFonts w:hAnsi="宋体"/>
          <w:color w:val="auto"/>
          <w:kern w:val="2"/>
          <w:sz w:val="21"/>
          <w:szCs w:val="21"/>
          <w:highlight w:val="none"/>
          <w:lang w:val="zh-CN"/>
        </w:rPr>
        <w:tab/>
      </w:r>
      <w:r>
        <w:rPr>
          <w:rFonts w:hint="eastAsia" w:hAnsi="宋体"/>
          <w:b/>
          <w:bCs/>
          <w:color w:val="auto"/>
          <w:kern w:val="2"/>
          <w:sz w:val="21"/>
          <w:szCs w:val="21"/>
          <w:highlight w:val="none"/>
          <w:lang w:val="zh-CN"/>
        </w:rPr>
        <w:t>资格证明文件和唱标信封应分别单独密封，与投标文件一同提交。</w:t>
      </w:r>
    </w:p>
    <w:p>
      <w:pPr>
        <w:spacing w:line="360" w:lineRule="auto"/>
        <w:ind w:left="567" w:right="18"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18.</w:t>
      </w:r>
      <w:r>
        <w:rPr>
          <w:rFonts w:hint="eastAsia" w:hAnsi="宋体"/>
          <w:color w:val="auto"/>
          <w:kern w:val="2"/>
          <w:sz w:val="21"/>
          <w:szCs w:val="21"/>
          <w:highlight w:val="none"/>
          <w:lang w:val="zh-CN"/>
        </w:rPr>
        <w:t>3</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密封封装标记：外层密封封装表面应正确标明投标人名称、地址、项目名称、包号（如有）、投标文件名称、并注明投标文件递交截止时间之前不得开封（在封口位置的封条上标注注明），封口位置须加盖公章；</w:t>
      </w:r>
    </w:p>
    <w:p>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18.</w:t>
      </w:r>
      <w:r>
        <w:rPr>
          <w:rFonts w:hint="eastAsia" w:hAnsi="宋体"/>
          <w:color w:val="auto"/>
          <w:kern w:val="2"/>
          <w:sz w:val="21"/>
          <w:szCs w:val="21"/>
          <w:highlight w:val="none"/>
        </w:rPr>
        <w:t>4</w:t>
      </w:r>
      <w:r>
        <w:rPr>
          <w:rFonts w:hAnsi="宋体"/>
          <w:color w:val="auto"/>
          <w:kern w:val="2"/>
          <w:sz w:val="21"/>
          <w:szCs w:val="21"/>
          <w:highlight w:val="none"/>
          <w:lang w:val="zh-CN"/>
        </w:rPr>
        <w:tab/>
      </w:r>
      <w:r>
        <w:rPr>
          <w:rFonts w:hint="eastAsia" w:hAnsi="宋体"/>
          <w:color w:val="auto"/>
          <w:kern w:val="2"/>
          <w:sz w:val="21"/>
          <w:szCs w:val="21"/>
          <w:highlight w:val="none"/>
          <w:lang w:val="zh-CN"/>
        </w:rPr>
        <w:t>如果因密封封装未按本款规定密封和标记，导致招标代理机构对投标文件误投、提前拆封或错放的，由投标人承担责任。对由此造成提前开封的投标文件，招标代理机构予以拒绝，并退回投标人。</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19</w:t>
      </w:r>
      <w:r>
        <w:rPr>
          <w:rFonts w:hAnsi="宋体"/>
          <w:color w:val="auto"/>
          <w:kern w:val="2"/>
          <w:sz w:val="21"/>
          <w:szCs w:val="21"/>
          <w:highlight w:val="none"/>
          <w:lang w:val="zh-CN"/>
        </w:rPr>
        <w:tab/>
      </w:r>
      <w:r>
        <w:rPr>
          <w:rFonts w:hint="eastAsia" w:hAnsi="宋体"/>
          <w:bCs/>
          <w:color w:val="auto"/>
          <w:sz w:val="21"/>
          <w:szCs w:val="21"/>
          <w:highlight w:val="none"/>
        </w:rPr>
        <w:t>投标文件的递交、接收</w:t>
      </w:r>
    </w:p>
    <w:p>
      <w:pPr>
        <w:tabs>
          <w:tab w:val="left" w:pos="0"/>
        </w:tabs>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19.1 投标人代表应按《投标人须知前附表》所规定的时间和地点向招标人递交投标文件。</w:t>
      </w:r>
    </w:p>
    <w:p>
      <w:pPr>
        <w:tabs>
          <w:tab w:val="left" w:pos="567"/>
        </w:tabs>
        <w:spacing w:line="360" w:lineRule="auto"/>
        <w:ind w:left="567" w:hanging="567" w:hangingChars="270"/>
        <w:jc w:val="both"/>
        <w:rPr>
          <w:rFonts w:hint="eastAsia" w:hAnsi="宋体"/>
          <w:b/>
          <w:color w:val="auto"/>
          <w:kern w:val="2"/>
          <w:sz w:val="21"/>
          <w:szCs w:val="21"/>
          <w:highlight w:val="none"/>
          <w:lang w:val="zh-CN"/>
        </w:rPr>
      </w:pPr>
      <w:r>
        <w:rPr>
          <w:rFonts w:hint="eastAsia" w:hAnsi="宋体"/>
          <w:bCs/>
          <w:color w:val="auto"/>
          <w:kern w:val="2"/>
          <w:sz w:val="21"/>
          <w:szCs w:val="21"/>
          <w:highlight w:val="none"/>
          <w:lang w:val="zh-CN"/>
        </w:rPr>
        <w:t>19.2 在投标截止时间后送达投标文件的或者传真、电传的投标文件，招标人和招标代理机构将拒绝接收。</w:t>
      </w:r>
    </w:p>
    <w:p>
      <w:pPr>
        <w:tabs>
          <w:tab w:val="left" w:pos="0"/>
        </w:tabs>
        <w:spacing w:line="360" w:lineRule="auto"/>
        <w:ind w:left="525" w:hanging="525" w:hangingChars="25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19.</w:t>
      </w:r>
      <w:r>
        <w:rPr>
          <w:rFonts w:hint="eastAsia" w:hAnsi="宋体"/>
          <w:color w:val="auto"/>
          <w:kern w:val="2"/>
          <w:sz w:val="21"/>
          <w:szCs w:val="21"/>
          <w:highlight w:val="none"/>
        </w:rPr>
        <w:t>3</w:t>
      </w:r>
      <w:r>
        <w:rPr>
          <w:rFonts w:hint="eastAsia" w:hAnsi="宋体"/>
          <w:color w:val="auto"/>
          <w:kern w:val="2"/>
          <w:sz w:val="21"/>
          <w:szCs w:val="21"/>
          <w:highlight w:val="none"/>
          <w:lang w:val="zh-CN"/>
        </w:rPr>
        <w:t xml:space="preserve"> 招标人可按照第</w:t>
      </w:r>
      <w:r>
        <w:rPr>
          <w:rFonts w:hint="eastAsia" w:hAnsi="宋体"/>
          <w:color w:val="auto"/>
          <w:kern w:val="2"/>
          <w:sz w:val="21"/>
          <w:szCs w:val="21"/>
          <w:highlight w:val="none"/>
        </w:rPr>
        <w:t>9</w:t>
      </w:r>
      <w:r>
        <w:rPr>
          <w:rFonts w:hint="eastAsia" w:hAnsi="宋体"/>
          <w:color w:val="auto"/>
          <w:kern w:val="2"/>
          <w:sz w:val="21"/>
          <w:szCs w:val="21"/>
          <w:highlight w:val="none"/>
          <w:lang w:val="zh-CN"/>
        </w:rPr>
        <w:t>款的规定修改招标文件并酌情延长递交投标文件的截止时间，因此，已规定的招标代理机构和投标人的一切权利和义务将按延期后的递交投标文件截止时间履行。</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20</w:t>
      </w:r>
      <w:r>
        <w:rPr>
          <w:rFonts w:hAnsi="宋体"/>
          <w:color w:val="auto"/>
          <w:kern w:val="2"/>
          <w:sz w:val="21"/>
          <w:szCs w:val="21"/>
          <w:highlight w:val="none"/>
          <w:lang w:val="zh-CN"/>
        </w:rPr>
        <w:tab/>
      </w:r>
      <w:r>
        <w:rPr>
          <w:rFonts w:hint="eastAsia" w:hAnsi="宋体"/>
          <w:color w:val="auto"/>
          <w:kern w:val="2"/>
          <w:sz w:val="21"/>
          <w:szCs w:val="21"/>
          <w:highlight w:val="none"/>
          <w:lang w:val="zh-CN"/>
        </w:rPr>
        <w:t>迟交的投标文件</w:t>
      </w:r>
    </w:p>
    <w:p>
      <w:pPr>
        <w:spacing w:line="360" w:lineRule="auto"/>
        <w:ind w:firstLine="567"/>
        <w:jc w:val="both"/>
        <w:rPr>
          <w:rFonts w:hAnsi="宋体"/>
          <w:color w:val="auto"/>
          <w:kern w:val="2"/>
          <w:sz w:val="21"/>
          <w:szCs w:val="21"/>
          <w:highlight w:val="none"/>
          <w:lang w:val="zh-CN"/>
        </w:rPr>
      </w:pPr>
      <w:r>
        <w:rPr>
          <w:rFonts w:hint="eastAsia" w:hAnsi="宋体"/>
          <w:color w:val="auto"/>
          <w:kern w:val="2"/>
          <w:sz w:val="21"/>
          <w:szCs w:val="21"/>
          <w:highlight w:val="none"/>
          <w:lang w:val="zh-CN"/>
        </w:rPr>
        <w:t>根据第</w:t>
      </w:r>
      <w:r>
        <w:rPr>
          <w:rFonts w:hAnsi="宋体"/>
          <w:color w:val="auto"/>
          <w:kern w:val="2"/>
          <w:sz w:val="21"/>
          <w:szCs w:val="21"/>
          <w:highlight w:val="none"/>
          <w:lang w:val="zh-CN"/>
        </w:rPr>
        <w:t>19</w:t>
      </w:r>
      <w:r>
        <w:rPr>
          <w:rFonts w:hint="eastAsia" w:hAnsi="宋体"/>
          <w:color w:val="auto"/>
          <w:kern w:val="2"/>
          <w:sz w:val="21"/>
          <w:szCs w:val="21"/>
          <w:highlight w:val="none"/>
          <w:lang w:val="zh-CN"/>
        </w:rPr>
        <w:t>款规定，招标代理机构将拒绝任何晚于递交投标文件截止时间交到的投标文件。</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21</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投标文件的修改和撤回</w:t>
      </w:r>
    </w:p>
    <w:p>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21.1</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投标人可在递交投标文件截止时间前对其递交的投标文件进行修改或撤回，但须在递交投标文件截止时间前向招标代理机构提出修改或撤回的书面通知。</w:t>
      </w:r>
    </w:p>
    <w:p>
      <w:pPr>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21.2</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投标人对投标文件的修改或撤回的通知应按第</w:t>
      </w:r>
      <w:r>
        <w:rPr>
          <w:rFonts w:hAnsi="宋体"/>
          <w:color w:val="auto"/>
          <w:kern w:val="2"/>
          <w:sz w:val="21"/>
          <w:szCs w:val="21"/>
          <w:highlight w:val="none"/>
          <w:lang w:val="zh-CN"/>
        </w:rPr>
        <w:t>17</w:t>
      </w:r>
      <w:r>
        <w:rPr>
          <w:rFonts w:hint="eastAsia" w:hAnsi="宋体"/>
          <w:color w:val="auto"/>
          <w:kern w:val="2"/>
          <w:sz w:val="21"/>
          <w:szCs w:val="21"/>
          <w:highlight w:val="none"/>
          <w:lang w:val="zh-CN"/>
        </w:rPr>
        <w:t>款和第</w:t>
      </w:r>
      <w:r>
        <w:rPr>
          <w:rFonts w:hAnsi="宋体"/>
          <w:color w:val="auto"/>
          <w:kern w:val="2"/>
          <w:sz w:val="21"/>
          <w:szCs w:val="21"/>
          <w:highlight w:val="none"/>
          <w:lang w:val="zh-CN"/>
        </w:rPr>
        <w:t>18</w:t>
      </w:r>
      <w:r>
        <w:rPr>
          <w:rFonts w:hint="eastAsia" w:hAnsi="宋体"/>
          <w:color w:val="auto"/>
          <w:kern w:val="2"/>
          <w:sz w:val="21"/>
          <w:szCs w:val="21"/>
          <w:highlight w:val="none"/>
          <w:lang w:val="zh-CN"/>
        </w:rPr>
        <w:t>款规定进行准备、密封、标注和递送。</w:t>
      </w:r>
    </w:p>
    <w:p>
      <w:pPr>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21.3</w:t>
      </w:r>
      <w:r>
        <w:rPr>
          <w:rFonts w:hAnsi="宋体"/>
          <w:color w:val="auto"/>
          <w:kern w:val="2"/>
          <w:sz w:val="21"/>
          <w:szCs w:val="21"/>
          <w:highlight w:val="none"/>
          <w:lang w:val="zh-CN"/>
        </w:rPr>
        <w:tab/>
      </w:r>
      <w:r>
        <w:rPr>
          <w:rFonts w:hint="eastAsia" w:hAnsi="宋体"/>
          <w:color w:val="auto"/>
          <w:kern w:val="2"/>
          <w:sz w:val="21"/>
          <w:szCs w:val="21"/>
          <w:highlight w:val="none"/>
          <w:lang w:val="zh-CN"/>
        </w:rPr>
        <w:t>递交投标文件截止时间后，投标人不得修改投标文件。</w:t>
      </w:r>
    </w:p>
    <w:p>
      <w:pPr>
        <w:spacing w:line="360" w:lineRule="auto"/>
        <w:ind w:left="567" w:right="18"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21.4</w:t>
      </w:r>
      <w:r>
        <w:rPr>
          <w:rFonts w:hAnsi="宋体"/>
          <w:color w:val="auto"/>
          <w:kern w:val="2"/>
          <w:sz w:val="21"/>
          <w:szCs w:val="21"/>
          <w:highlight w:val="none"/>
          <w:lang w:val="zh-CN"/>
        </w:rPr>
        <w:tab/>
      </w:r>
      <w:r>
        <w:rPr>
          <w:rFonts w:hint="eastAsia" w:hAnsi="宋体"/>
          <w:color w:val="auto"/>
          <w:kern w:val="2"/>
          <w:sz w:val="21"/>
          <w:szCs w:val="21"/>
          <w:highlight w:val="none"/>
          <w:lang w:val="zh-CN"/>
        </w:rPr>
        <w:t>投标人不得在递交投标文件截止时间起至第</w:t>
      </w:r>
      <w:r>
        <w:rPr>
          <w:rFonts w:hAnsi="宋体"/>
          <w:color w:val="auto"/>
          <w:kern w:val="2"/>
          <w:sz w:val="21"/>
          <w:szCs w:val="21"/>
          <w:highlight w:val="none"/>
          <w:lang w:val="zh-CN"/>
        </w:rPr>
        <w:t>16</w:t>
      </w:r>
      <w:r>
        <w:rPr>
          <w:rFonts w:hint="eastAsia" w:hAnsi="宋体"/>
          <w:color w:val="auto"/>
          <w:kern w:val="2"/>
          <w:sz w:val="21"/>
          <w:szCs w:val="21"/>
          <w:highlight w:val="none"/>
          <w:lang w:val="zh-CN"/>
        </w:rPr>
        <w:t>款规定的投标有效期期满前撤回其投标文件。否则招标代理机构将按第</w:t>
      </w:r>
      <w:r>
        <w:rPr>
          <w:rFonts w:hAnsi="宋体"/>
          <w:color w:val="auto"/>
          <w:kern w:val="2"/>
          <w:sz w:val="21"/>
          <w:szCs w:val="21"/>
          <w:highlight w:val="none"/>
          <w:lang w:val="zh-CN"/>
        </w:rPr>
        <w:t>15.7</w:t>
      </w:r>
      <w:r>
        <w:rPr>
          <w:rFonts w:hint="eastAsia" w:hAnsi="宋体"/>
          <w:color w:val="auto"/>
          <w:kern w:val="2"/>
          <w:sz w:val="21"/>
          <w:szCs w:val="21"/>
          <w:highlight w:val="none"/>
          <w:lang w:val="zh-CN"/>
        </w:rPr>
        <w:t>款规定没收其投标保证金。</w:t>
      </w:r>
    </w:p>
    <w:p>
      <w:pPr>
        <w:spacing w:line="360" w:lineRule="auto"/>
        <w:ind w:left="567" w:right="18" w:hanging="567"/>
        <w:jc w:val="both"/>
        <w:rPr>
          <w:rFonts w:hint="eastAsia" w:hAnsi="宋体"/>
          <w:color w:val="auto"/>
          <w:kern w:val="2"/>
          <w:sz w:val="21"/>
          <w:szCs w:val="21"/>
          <w:highlight w:val="none"/>
        </w:rPr>
      </w:pPr>
      <w:r>
        <w:rPr>
          <w:rFonts w:hint="eastAsia" w:hAnsi="宋体"/>
          <w:color w:val="auto"/>
          <w:kern w:val="2"/>
          <w:sz w:val="21"/>
          <w:szCs w:val="21"/>
          <w:highlight w:val="none"/>
        </w:rPr>
        <w:t>21.5 至投标截止时间，出现下列情形之一的投标文件，将被招标人和招标代理机构拒绝并原封退回给投标人：</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（1）招标人和招标代理机构在投标邀请书中规定的截止时间以后和投标邀请书中规定的投标文件递交地点以外收到的投标文件；</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（2）至投标截止时间，投标人不足3家的，在投标截止时间前收到的所有未被开启的投标文件；</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（3）按本须知第</w:t>
      </w:r>
      <w:r>
        <w:rPr>
          <w:rFonts w:hint="eastAsia" w:hAnsi="宋体"/>
          <w:color w:val="auto"/>
          <w:sz w:val="21"/>
          <w:szCs w:val="21"/>
          <w:highlight w:val="none"/>
        </w:rPr>
        <w:t>21</w:t>
      </w:r>
      <w:r>
        <w:rPr>
          <w:rFonts w:hint="eastAsia" w:hAnsi="宋体"/>
          <w:color w:val="auto"/>
          <w:sz w:val="21"/>
          <w:szCs w:val="21"/>
          <w:highlight w:val="none"/>
          <w:lang w:val="zh-CN"/>
        </w:rPr>
        <w:t>.</w:t>
      </w:r>
      <w:r>
        <w:rPr>
          <w:rFonts w:hint="eastAsia" w:hAnsi="宋体"/>
          <w:color w:val="auto"/>
          <w:sz w:val="21"/>
          <w:szCs w:val="21"/>
          <w:highlight w:val="none"/>
        </w:rPr>
        <w:t>1</w:t>
      </w:r>
      <w:r>
        <w:rPr>
          <w:rFonts w:hint="eastAsia" w:hAnsi="宋体"/>
          <w:color w:val="auto"/>
          <w:sz w:val="21"/>
          <w:szCs w:val="21"/>
          <w:highlight w:val="none"/>
          <w:lang w:val="zh-CN"/>
        </w:rPr>
        <w:t>款规定提交书面撤回申请书的投标文件；</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（4）未按本须知第</w:t>
      </w:r>
      <w:r>
        <w:rPr>
          <w:rFonts w:hint="eastAsia" w:hAnsi="宋体"/>
          <w:color w:val="auto"/>
          <w:sz w:val="21"/>
          <w:szCs w:val="21"/>
          <w:highlight w:val="none"/>
        </w:rPr>
        <w:t>1</w:t>
      </w:r>
      <w:r>
        <w:rPr>
          <w:rFonts w:hAnsi="宋体"/>
          <w:color w:val="auto"/>
          <w:sz w:val="21"/>
          <w:szCs w:val="21"/>
          <w:highlight w:val="none"/>
        </w:rPr>
        <w:t>8</w:t>
      </w:r>
      <w:r>
        <w:rPr>
          <w:rFonts w:hint="eastAsia" w:hAnsi="宋体"/>
          <w:color w:val="auto"/>
          <w:sz w:val="21"/>
          <w:szCs w:val="21"/>
          <w:highlight w:val="none"/>
          <w:lang w:val="zh-CN"/>
        </w:rPr>
        <w:t>款规定密封的投标文件。</w:t>
      </w:r>
    </w:p>
    <w:p>
      <w:pPr>
        <w:pStyle w:val="4"/>
        <w:tabs>
          <w:tab w:val="center" w:pos="4819"/>
        </w:tabs>
        <w:spacing w:line="360" w:lineRule="auto"/>
        <w:rPr>
          <w:rFonts w:hAnsi="宋体"/>
          <w:b/>
          <w:bCs/>
          <w:color w:val="auto"/>
          <w:kern w:val="44"/>
          <w:sz w:val="21"/>
          <w:szCs w:val="21"/>
          <w:highlight w:val="none"/>
          <w:lang w:val="zh-CN"/>
        </w:rPr>
      </w:pPr>
      <w:bookmarkStart w:id="17" w:name="_Toc14237"/>
      <w:bookmarkStart w:id="18" w:name="_Toc396137237"/>
      <w:r>
        <w:rPr>
          <w:rFonts w:hint="eastAsia" w:hAnsi="宋体"/>
          <w:b/>
          <w:bCs/>
          <w:color w:val="auto"/>
          <w:kern w:val="44"/>
          <w:sz w:val="21"/>
          <w:szCs w:val="21"/>
          <w:highlight w:val="none"/>
          <w:lang w:val="zh-CN"/>
        </w:rPr>
        <w:t>（五）开标、评标与定标</w:t>
      </w:r>
      <w:bookmarkEnd w:id="17"/>
      <w:bookmarkEnd w:id="18"/>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22</w:t>
      </w:r>
      <w:r>
        <w:rPr>
          <w:rFonts w:hAnsi="宋体"/>
          <w:color w:val="auto"/>
          <w:kern w:val="2"/>
          <w:sz w:val="21"/>
          <w:szCs w:val="21"/>
          <w:highlight w:val="none"/>
          <w:lang w:val="zh-CN"/>
        </w:rPr>
        <w:tab/>
      </w:r>
      <w:r>
        <w:rPr>
          <w:rFonts w:hint="eastAsia" w:hAnsi="宋体"/>
          <w:color w:val="auto"/>
          <w:kern w:val="2"/>
          <w:sz w:val="21"/>
          <w:szCs w:val="21"/>
          <w:highlight w:val="none"/>
          <w:lang w:val="zh-CN"/>
        </w:rPr>
        <w:t>开标</w:t>
      </w:r>
    </w:p>
    <w:p>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22.1</w:t>
      </w:r>
      <w:r>
        <w:rPr>
          <w:rFonts w:hAnsi="宋体"/>
          <w:color w:val="auto"/>
          <w:kern w:val="2"/>
          <w:sz w:val="21"/>
          <w:szCs w:val="21"/>
          <w:highlight w:val="none"/>
          <w:lang w:val="zh-CN"/>
        </w:rPr>
        <w:tab/>
      </w:r>
      <w:r>
        <w:rPr>
          <w:rFonts w:hint="eastAsia" w:hAnsi="宋体"/>
          <w:color w:val="auto"/>
          <w:kern w:val="2"/>
          <w:sz w:val="21"/>
          <w:szCs w:val="21"/>
          <w:highlight w:val="none"/>
          <w:lang w:val="zh-CN"/>
        </w:rPr>
        <w:t>招标代理机构按照招标文件规定的时间和地点组织公开开标，并邀请所有投标人代表参加。</w:t>
      </w:r>
    </w:p>
    <w:p>
      <w:pPr>
        <w:spacing w:line="360" w:lineRule="auto"/>
        <w:ind w:left="567" w:right="18" w:hanging="567"/>
        <w:jc w:val="both"/>
        <w:rPr>
          <w:rFonts w:hint="eastAsia" w:hAnsi="宋体"/>
          <w:color w:val="auto"/>
          <w:kern w:val="2"/>
          <w:sz w:val="21"/>
          <w:szCs w:val="21"/>
          <w:highlight w:val="none"/>
        </w:rPr>
      </w:pPr>
      <w:r>
        <w:rPr>
          <w:rFonts w:hint="eastAsia" w:hAnsi="宋体"/>
          <w:color w:val="auto"/>
          <w:kern w:val="2"/>
          <w:sz w:val="21"/>
          <w:szCs w:val="21"/>
          <w:highlight w:val="none"/>
        </w:rPr>
        <w:t>22.2 开标会由招标代理机构主持，投标人的法定代表人或经其正式授权代表务必携带有效身份证明准时参加开标会并签名报到，以证明其出席。投标人未参加开标的，视同认可开标结果。</w:t>
      </w:r>
    </w:p>
    <w:p>
      <w:pPr>
        <w:spacing w:line="360" w:lineRule="auto"/>
        <w:ind w:left="567" w:right="18" w:hanging="567"/>
        <w:jc w:val="both"/>
        <w:rPr>
          <w:rFonts w:hint="eastAsia" w:hAnsi="宋体"/>
          <w:color w:val="auto"/>
          <w:sz w:val="21"/>
          <w:szCs w:val="21"/>
          <w:highlight w:val="none"/>
          <w:lang w:val="zh-CN"/>
        </w:rPr>
      </w:pPr>
      <w:r>
        <w:rPr>
          <w:rFonts w:hint="eastAsia" w:hAnsi="宋体"/>
          <w:color w:val="auto"/>
          <w:kern w:val="2"/>
          <w:sz w:val="21"/>
          <w:szCs w:val="21"/>
          <w:highlight w:val="none"/>
          <w:lang w:val="zh-CN"/>
        </w:rPr>
        <w:t>22.</w:t>
      </w:r>
      <w:r>
        <w:rPr>
          <w:rFonts w:hint="eastAsia" w:hAnsi="宋体"/>
          <w:color w:val="auto"/>
          <w:kern w:val="2"/>
          <w:sz w:val="21"/>
          <w:szCs w:val="21"/>
          <w:highlight w:val="none"/>
        </w:rPr>
        <w:t>3</w:t>
      </w:r>
      <w:r>
        <w:rPr>
          <w:rFonts w:hint="eastAsia" w:hAnsi="宋体"/>
          <w:color w:val="auto"/>
          <w:kern w:val="2"/>
          <w:sz w:val="21"/>
          <w:szCs w:val="21"/>
          <w:highlight w:val="none"/>
          <w:lang w:val="zh-CN"/>
        </w:rPr>
        <w:t xml:space="preserve"> </w:t>
      </w:r>
      <w:r>
        <w:rPr>
          <w:rFonts w:hint="eastAsia" w:hAnsi="宋体"/>
          <w:color w:val="auto"/>
          <w:sz w:val="21"/>
          <w:szCs w:val="21"/>
          <w:highlight w:val="none"/>
          <w:lang w:val="zh-CN"/>
        </w:rPr>
        <w:t>开标时，由投标人或者其推选的代表检查投标文件的密封情况；经确认无误后，由招标代理机构工作人员当众拆封，宣布投标人名称、投标价格和招标文件规定的需要宣布的其他内容。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pPr>
        <w:spacing w:line="360" w:lineRule="auto"/>
        <w:ind w:left="567"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2</w:t>
      </w:r>
      <w:r>
        <w:rPr>
          <w:rFonts w:hint="eastAsia" w:hAnsi="宋体"/>
          <w:color w:val="auto"/>
          <w:sz w:val="21"/>
          <w:szCs w:val="21"/>
          <w:highlight w:val="none"/>
        </w:rPr>
        <w:t>2</w:t>
      </w:r>
      <w:r>
        <w:rPr>
          <w:rFonts w:hint="eastAsia" w:hAnsi="宋体"/>
          <w:color w:val="auto"/>
          <w:sz w:val="21"/>
          <w:szCs w:val="21"/>
          <w:highlight w:val="none"/>
          <w:lang w:val="zh-CN"/>
        </w:rPr>
        <w:t>.</w:t>
      </w:r>
      <w:r>
        <w:rPr>
          <w:rFonts w:hint="eastAsia" w:hAnsi="宋体"/>
          <w:color w:val="auto"/>
          <w:sz w:val="21"/>
          <w:szCs w:val="21"/>
          <w:highlight w:val="none"/>
        </w:rPr>
        <w:t xml:space="preserve">4 </w:t>
      </w:r>
      <w:r>
        <w:rPr>
          <w:rFonts w:hint="eastAsia" w:hAnsi="宋体"/>
          <w:color w:val="auto"/>
          <w:sz w:val="21"/>
          <w:szCs w:val="21"/>
          <w:highlight w:val="none"/>
          <w:lang w:val="zh-CN"/>
        </w:rPr>
        <w:t>投标文件报价出现前后不一致的，按照下列规定修正：</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(1)投标文件中开标一览表内容与投标文件中相应内容不一致的，以开标一览表为准；</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(2)大写金额和小写金额不一致的，以大写金额为准；</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(3)单价金额小数点或者百分比有明显错位的，以开标一览表的总价为准，并修改单价；</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(4)总价金额与按单价汇总金额不一致的，以单价金额计算结果为准。</w:t>
      </w:r>
    </w:p>
    <w:p>
      <w:pPr>
        <w:spacing w:line="360" w:lineRule="auto"/>
        <w:ind w:left="1047" w:leftChars="200" w:right="18" w:hanging="567"/>
        <w:jc w:val="both"/>
        <w:rPr>
          <w:rFonts w:hint="eastAsia" w:hAnsi="宋体"/>
          <w:color w:val="auto"/>
          <w:sz w:val="21"/>
          <w:szCs w:val="21"/>
          <w:highlight w:val="none"/>
          <w:lang w:val="zh-CN"/>
        </w:rPr>
      </w:pPr>
      <w:r>
        <w:rPr>
          <w:rFonts w:hint="eastAsia" w:hAnsi="宋体"/>
          <w:color w:val="auto"/>
          <w:sz w:val="21"/>
          <w:szCs w:val="21"/>
          <w:highlight w:val="none"/>
          <w:lang w:val="zh-CN"/>
        </w:rPr>
        <w:t>(</w:t>
      </w:r>
      <w:r>
        <w:rPr>
          <w:rFonts w:hint="eastAsia" w:hAnsi="宋体"/>
          <w:color w:val="auto"/>
          <w:sz w:val="21"/>
          <w:szCs w:val="21"/>
          <w:highlight w:val="none"/>
        </w:rPr>
        <w:t>5</w:t>
      </w:r>
      <w:r>
        <w:rPr>
          <w:rFonts w:hint="eastAsia" w:hAnsi="宋体"/>
          <w:color w:val="auto"/>
          <w:sz w:val="21"/>
          <w:szCs w:val="21"/>
          <w:highlight w:val="none"/>
          <w:lang w:val="zh-CN"/>
        </w:rPr>
        <w:t>)同时出现两种以上不一致的，按照前款规定的顺序修正。对不同文字文本投标文件的解释发生异议的，以中文文本为准。如果投标人不接受对其错误的更正，其投标将被视为无效投标。</w:t>
      </w:r>
    </w:p>
    <w:p>
      <w:pPr>
        <w:spacing w:line="360" w:lineRule="auto"/>
        <w:ind w:left="567" w:right="18" w:hanging="567"/>
        <w:jc w:val="both"/>
        <w:rPr>
          <w:rFonts w:hint="eastAsia" w:hAnsi="宋体"/>
          <w:color w:val="auto"/>
          <w:sz w:val="21"/>
          <w:szCs w:val="21"/>
          <w:highlight w:val="none"/>
          <w:lang w:val="zh-CN"/>
        </w:rPr>
      </w:pPr>
      <w:r>
        <w:rPr>
          <w:rFonts w:hint="eastAsia" w:hAnsi="宋体"/>
          <w:color w:val="auto"/>
          <w:sz w:val="21"/>
          <w:szCs w:val="21"/>
          <w:highlight w:val="none"/>
        </w:rPr>
        <w:t xml:space="preserve">22.5 </w:t>
      </w:r>
      <w:r>
        <w:rPr>
          <w:rFonts w:hint="eastAsia" w:hAnsi="宋体"/>
          <w:color w:val="auto"/>
          <w:sz w:val="21"/>
          <w:szCs w:val="21"/>
          <w:highlight w:val="none"/>
          <w:lang w:val="zh-CN"/>
        </w:rPr>
        <w:t>当在招标文件要求的投标截止时间结束后提交有效投标文件的投标人不足三家时，停止开标，并将投标文件退还给投标人，本项目将视为招标失败。除招标任务取消外，招标代理机构将重新招标。</w:t>
      </w:r>
    </w:p>
    <w:p>
      <w:pPr>
        <w:spacing w:line="360" w:lineRule="auto"/>
        <w:ind w:left="567" w:right="18"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22.</w:t>
      </w:r>
      <w:r>
        <w:rPr>
          <w:rFonts w:hint="eastAsia" w:hAnsi="宋体"/>
          <w:color w:val="auto"/>
          <w:kern w:val="2"/>
          <w:sz w:val="21"/>
          <w:szCs w:val="21"/>
          <w:highlight w:val="none"/>
        </w:rPr>
        <w:t>6</w:t>
      </w:r>
      <w:r>
        <w:rPr>
          <w:rFonts w:hint="eastAsia" w:hAnsi="宋体"/>
          <w:color w:val="auto"/>
          <w:kern w:val="2"/>
          <w:sz w:val="21"/>
          <w:szCs w:val="21"/>
          <w:highlight w:val="none"/>
          <w:lang w:val="zh-CN"/>
        </w:rPr>
        <w:t xml:space="preserve">  </w:t>
      </w:r>
      <w:r>
        <w:rPr>
          <w:rFonts w:hint="eastAsia" w:hAnsi="宋体"/>
          <w:color w:val="auto"/>
          <w:sz w:val="21"/>
          <w:szCs w:val="21"/>
          <w:highlight w:val="none"/>
        </w:rPr>
        <w:t>招标代理机构</w:t>
      </w:r>
      <w:r>
        <w:rPr>
          <w:rFonts w:hAnsi="宋体"/>
          <w:color w:val="auto"/>
          <w:sz w:val="21"/>
          <w:szCs w:val="21"/>
          <w:highlight w:val="none"/>
        </w:rPr>
        <w:t>将做</w:t>
      </w:r>
      <w:r>
        <w:rPr>
          <w:rFonts w:hint="eastAsia" w:hAnsi="宋体"/>
          <w:color w:val="auto"/>
          <w:sz w:val="21"/>
          <w:szCs w:val="21"/>
          <w:highlight w:val="none"/>
        </w:rPr>
        <w:t>开标</w:t>
      </w:r>
      <w:r>
        <w:rPr>
          <w:rFonts w:hAnsi="宋体"/>
          <w:color w:val="auto"/>
          <w:sz w:val="21"/>
          <w:szCs w:val="21"/>
          <w:highlight w:val="none"/>
        </w:rPr>
        <w:t>记录</w:t>
      </w:r>
      <w:r>
        <w:rPr>
          <w:rFonts w:hint="eastAsia" w:hAnsi="宋体"/>
          <w:color w:val="auto"/>
          <w:sz w:val="21"/>
          <w:szCs w:val="21"/>
          <w:highlight w:val="none"/>
        </w:rPr>
        <w:t>，由参加开标的各投标人代表和相关工作人员签字确认后随招标文件一并存档</w:t>
      </w:r>
      <w:r>
        <w:rPr>
          <w:rFonts w:hAnsi="宋体"/>
          <w:color w:val="auto"/>
          <w:sz w:val="21"/>
          <w:szCs w:val="21"/>
          <w:highlight w:val="none"/>
        </w:rPr>
        <w:t>。</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23</w:t>
      </w:r>
      <w:r>
        <w:rPr>
          <w:rFonts w:hAnsi="宋体"/>
          <w:color w:val="auto"/>
          <w:kern w:val="2"/>
          <w:sz w:val="21"/>
          <w:szCs w:val="21"/>
          <w:highlight w:val="none"/>
          <w:lang w:val="zh-CN"/>
        </w:rPr>
        <w:tab/>
      </w:r>
      <w:r>
        <w:rPr>
          <w:rFonts w:hint="eastAsia" w:hAnsi="宋体"/>
          <w:color w:val="auto"/>
          <w:sz w:val="21"/>
          <w:szCs w:val="21"/>
          <w:highlight w:val="none"/>
        </w:rPr>
        <w:t>评标过程的保密性</w:t>
      </w:r>
    </w:p>
    <w:p>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23.1</w:t>
      </w:r>
      <w:r>
        <w:rPr>
          <w:rFonts w:hAnsi="宋体"/>
          <w:color w:val="auto"/>
          <w:kern w:val="2"/>
          <w:sz w:val="21"/>
          <w:szCs w:val="21"/>
          <w:highlight w:val="none"/>
          <w:lang w:val="zh-CN"/>
        </w:rPr>
        <w:tab/>
      </w:r>
      <w:r>
        <w:rPr>
          <w:rFonts w:hint="eastAsia" w:hAnsi="宋体"/>
          <w:color w:val="auto"/>
          <w:kern w:val="2"/>
          <w:sz w:val="21"/>
          <w:szCs w:val="21"/>
          <w:highlight w:val="none"/>
          <w:lang w:val="zh-CN"/>
        </w:rPr>
        <w:t>递交投标文件后，直至向中标人授予合同时止，凡与审查、澄清、评估和比较投标报价的有关资料以及</w:t>
      </w:r>
      <w:r>
        <w:rPr>
          <w:rFonts w:hint="eastAsia" w:hAnsi="宋体"/>
          <w:color w:val="auto"/>
          <w:sz w:val="21"/>
          <w:szCs w:val="21"/>
          <w:highlight w:val="none"/>
        </w:rPr>
        <w:t>授标</w:t>
      </w:r>
      <w:r>
        <w:rPr>
          <w:rFonts w:hint="eastAsia" w:hAnsi="宋体"/>
          <w:color w:val="auto"/>
          <w:kern w:val="2"/>
          <w:sz w:val="21"/>
          <w:szCs w:val="21"/>
          <w:highlight w:val="none"/>
          <w:lang w:val="zh-CN"/>
        </w:rPr>
        <w:t>意见等，</w:t>
      </w:r>
      <w:r>
        <w:rPr>
          <w:rFonts w:hint="eastAsia" w:hAnsi="宋体"/>
          <w:color w:val="auto"/>
          <w:sz w:val="21"/>
          <w:szCs w:val="21"/>
          <w:highlight w:val="none"/>
        </w:rPr>
        <w:t>参与评标工作的有关人员</w:t>
      </w:r>
      <w:r>
        <w:rPr>
          <w:rFonts w:hint="eastAsia" w:hAnsi="宋体"/>
          <w:color w:val="auto"/>
          <w:kern w:val="2"/>
          <w:sz w:val="21"/>
          <w:szCs w:val="21"/>
          <w:highlight w:val="none"/>
          <w:lang w:val="zh-CN"/>
        </w:rPr>
        <w:t>均不得向投标人及与评审无关的其他人透露，否则追究有关当事人的法律责任。</w:t>
      </w:r>
    </w:p>
    <w:p>
      <w:pPr>
        <w:tabs>
          <w:tab w:val="left" w:pos="567"/>
        </w:tabs>
        <w:spacing w:line="360" w:lineRule="auto"/>
        <w:ind w:left="567" w:right="18" w:hanging="567"/>
        <w:jc w:val="both"/>
        <w:rPr>
          <w:rFonts w:hAnsi="宋体"/>
          <w:color w:val="auto"/>
          <w:kern w:val="2"/>
          <w:sz w:val="21"/>
          <w:szCs w:val="21"/>
          <w:highlight w:val="none"/>
          <w:lang w:val="zh-CN"/>
        </w:rPr>
      </w:pPr>
      <w:r>
        <w:rPr>
          <w:rFonts w:hAnsi="宋体"/>
          <w:color w:val="auto"/>
          <w:kern w:val="2"/>
          <w:sz w:val="21"/>
          <w:szCs w:val="21"/>
          <w:highlight w:val="none"/>
          <w:lang w:val="zh-CN"/>
        </w:rPr>
        <w:t>23.2</w:t>
      </w:r>
      <w:r>
        <w:rPr>
          <w:rFonts w:hAnsi="宋体"/>
          <w:color w:val="auto"/>
          <w:kern w:val="2"/>
          <w:sz w:val="21"/>
          <w:szCs w:val="21"/>
          <w:highlight w:val="none"/>
          <w:lang w:val="zh-CN"/>
        </w:rPr>
        <w:tab/>
      </w:r>
      <w:r>
        <w:rPr>
          <w:rFonts w:hint="eastAsia" w:hAnsi="宋体"/>
          <w:color w:val="auto"/>
          <w:kern w:val="2"/>
          <w:sz w:val="21"/>
          <w:szCs w:val="21"/>
          <w:highlight w:val="none"/>
          <w:lang w:val="zh-CN"/>
        </w:rPr>
        <w:t>在评标过程中，如果投标人试图在投标文件审查、澄清、比较及授予合同方面向招标代理机构和招标人施加任何影响，其投标文件将被拒绝。</w:t>
      </w:r>
    </w:p>
    <w:p>
      <w:pPr>
        <w:autoSpaceDE/>
        <w:autoSpaceDN/>
        <w:adjustRightInd/>
        <w:spacing w:line="360" w:lineRule="auto"/>
        <w:ind w:left="525" w:hanging="525" w:hangingChars="250"/>
        <w:jc w:val="both"/>
        <w:rPr>
          <w:rFonts w:hint="eastAsia" w:hAnsi="宋体"/>
          <w:color w:val="auto"/>
          <w:sz w:val="21"/>
          <w:szCs w:val="21"/>
          <w:highlight w:val="none"/>
        </w:rPr>
      </w:pPr>
      <w:r>
        <w:rPr>
          <w:rFonts w:hint="eastAsia" w:hAnsi="宋体"/>
          <w:color w:val="auto"/>
          <w:sz w:val="21"/>
          <w:szCs w:val="21"/>
          <w:highlight w:val="none"/>
          <w:lang w:val="zh-CN"/>
        </w:rPr>
        <w:t xml:space="preserve">23.3  </w:t>
      </w:r>
      <w:r>
        <w:rPr>
          <w:rFonts w:hint="eastAsia" w:hAnsi="宋体"/>
          <w:color w:val="auto"/>
          <w:sz w:val="21"/>
          <w:szCs w:val="21"/>
          <w:highlight w:val="none"/>
        </w:rPr>
        <w:t>凡参与评标工作的有关人员均应自觉接受相关部门的监督，不得向他人透露已获得招标文件的潜在投标人的名称、数量以及可能影响公平竞争的有关投标报价的其他情况。</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24</w:t>
      </w:r>
      <w:r>
        <w:rPr>
          <w:rFonts w:hAnsi="宋体"/>
          <w:color w:val="auto"/>
          <w:kern w:val="2"/>
          <w:sz w:val="21"/>
          <w:szCs w:val="21"/>
          <w:highlight w:val="none"/>
          <w:lang w:val="zh-CN"/>
        </w:rPr>
        <w:tab/>
      </w:r>
      <w:r>
        <w:rPr>
          <w:rFonts w:hint="eastAsia" w:hAnsi="宋体"/>
          <w:color w:val="auto"/>
          <w:kern w:val="2"/>
          <w:sz w:val="21"/>
          <w:szCs w:val="21"/>
          <w:highlight w:val="none"/>
          <w:lang w:val="zh-CN"/>
        </w:rPr>
        <w:t>评标委员会</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24.1</w:t>
      </w:r>
      <w:r>
        <w:rPr>
          <w:rFonts w:hAnsi="宋体"/>
          <w:color w:val="auto"/>
          <w:kern w:val="2"/>
          <w:sz w:val="21"/>
          <w:szCs w:val="21"/>
          <w:highlight w:val="none"/>
          <w:lang w:val="zh-CN"/>
        </w:rPr>
        <w:tab/>
      </w:r>
      <w:r>
        <w:rPr>
          <w:rFonts w:hint="eastAsia" w:hAnsi="宋体"/>
          <w:color w:val="auto"/>
          <w:kern w:val="2"/>
          <w:sz w:val="21"/>
          <w:szCs w:val="21"/>
          <w:highlight w:val="none"/>
          <w:lang w:val="zh-CN"/>
        </w:rPr>
        <w:t>招标代理机构依法组建评标委员会。评标委员会成员组成详见</w:t>
      </w:r>
      <w:r>
        <w:rPr>
          <w:rFonts w:hint="eastAsia" w:hAnsi="宋体"/>
          <w:color w:val="auto"/>
          <w:sz w:val="21"/>
          <w:szCs w:val="21"/>
          <w:highlight w:val="none"/>
        </w:rPr>
        <w:t>《投标人须知前附表》</w:t>
      </w:r>
      <w:r>
        <w:rPr>
          <w:rFonts w:hint="eastAsia" w:hAnsi="宋体"/>
          <w:color w:val="auto"/>
          <w:kern w:val="2"/>
          <w:sz w:val="21"/>
          <w:szCs w:val="21"/>
          <w:highlight w:val="none"/>
          <w:lang w:val="zh-CN"/>
        </w:rPr>
        <w:t>，技术、经济等方面的专家在开标前一日由</w:t>
      </w:r>
      <w:r>
        <w:rPr>
          <w:rFonts w:hint="eastAsia" w:hAnsi="宋体" w:cs="宋体"/>
          <w:color w:val="auto"/>
          <w:sz w:val="21"/>
          <w:szCs w:val="21"/>
          <w:highlight w:val="none"/>
        </w:rPr>
        <w:t>评审专家随机抽取系统</w:t>
      </w:r>
      <w:r>
        <w:rPr>
          <w:rFonts w:hint="eastAsia" w:hAnsi="宋体"/>
          <w:color w:val="auto"/>
          <w:kern w:val="2"/>
          <w:sz w:val="21"/>
          <w:szCs w:val="21"/>
          <w:highlight w:val="none"/>
          <w:lang w:val="zh-CN"/>
        </w:rPr>
        <w:t>中随机抽取产生。评标委员会的成员在评标过程中必须严格遵守相关招标规定。</w:t>
      </w:r>
    </w:p>
    <w:p>
      <w:pPr>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24.2</w:t>
      </w:r>
      <w:r>
        <w:rPr>
          <w:rFonts w:hAnsi="宋体"/>
          <w:color w:val="auto"/>
          <w:kern w:val="2"/>
          <w:sz w:val="21"/>
          <w:szCs w:val="21"/>
          <w:highlight w:val="none"/>
          <w:lang w:val="zh-CN"/>
        </w:rPr>
        <w:tab/>
      </w:r>
      <w:r>
        <w:rPr>
          <w:rFonts w:hint="eastAsia" w:hAnsi="宋体"/>
          <w:color w:val="auto"/>
          <w:kern w:val="2"/>
          <w:sz w:val="21"/>
          <w:szCs w:val="21"/>
          <w:highlight w:val="none"/>
          <w:lang w:val="zh-CN"/>
        </w:rPr>
        <w:t>评标委员会将只对确定为实质上响应招标文件要求的投标，即通过初审的投标进行评价和比较，响应的依据是招标文件本身的内容，而不寻求其它证据。实质上响应的投标应该是与招标文件要求的全部主要条款、条件和规格相符，没有重大偏离的投标。</w:t>
      </w:r>
    </w:p>
    <w:p>
      <w:pPr>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24.</w:t>
      </w:r>
      <w:r>
        <w:rPr>
          <w:rFonts w:hint="eastAsia" w:hAnsi="宋体"/>
          <w:color w:val="auto"/>
          <w:kern w:val="2"/>
          <w:sz w:val="21"/>
          <w:szCs w:val="21"/>
          <w:highlight w:val="none"/>
          <w:lang w:val="zh-CN"/>
        </w:rPr>
        <w:t>3</w:t>
      </w:r>
      <w:r>
        <w:rPr>
          <w:rFonts w:hAnsi="宋体"/>
          <w:color w:val="auto"/>
          <w:kern w:val="2"/>
          <w:sz w:val="21"/>
          <w:szCs w:val="21"/>
          <w:highlight w:val="none"/>
          <w:lang w:val="zh-CN"/>
        </w:rPr>
        <w:tab/>
      </w:r>
      <w:r>
        <w:rPr>
          <w:rFonts w:hint="eastAsia" w:hAnsi="宋体"/>
          <w:color w:val="auto"/>
          <w:kern w:val="2"/>
          <w:sz w:val="21"/>
          <w:szCs w:val="21"/>
          <w:highlight w:val="none"/>
          <w:lang w:val="zh-CN"/>
        </w:rPr>
        <w:t>评标委员会依法根据招标文件的规定，进行投标文件的评审、得出评审结果，评标委员会递交评标报告并依法向招标人推荐中标候选人。</w:t>
      </w:r>
    </w:p>
    <w:p>
      <w:pPr>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24.4 所有参加评标人员必须遵守有关招标的法则、规定，遵守有关招标的保密制度；如有违反者，给予行政处分；情节严重，构成犯罪的，由司法机关依法追究其刑事责任。</w:t>
      </w:r>
    </w:p>
    <w:p>
      <w:pPr>
        <w:spacing w:line="360" w:lineRule="auto"/>
        <w:ind w:left="567" w:hanging="567"/>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 全体参与评标人员：</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24.5.1 必须遵守评标纪律、不得泄密；</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24.5.2 必须公正、不得循私；</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24.5.3 必须科学、不得草率；</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24.5.4 必须客观、不得带有成见；</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24.5.5 必须平等、不得强加于人；</w:t>
      </w:r>
    </w:p>
    <w:p>
      <w:pPr>
        <w:spacing w:line="360" w:lineRule="auto"/>
        <w:ind w:left="570" w:leftChars="220" w:hanging="42" w:hangingChars="2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24.5.6 必须严谨、不得随意马虎。</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25</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投标文件的初审</w:t>
      </w:r>
    </w:p>
    <w:p>
      <w:pPr>
        <w:spacing w:line="360" w:lineRule="auto"/>
        <w:ind w:left="540" w:hanging="540"/>
        <w:jc w:val="both"/>
        <w:rPr>
          <w:rFonts w:hAnsi="宋体"/>
          <w:color w:val="auto"/>
          <w:kern w:val="2"/>
          <w:sz w:val="21"/>
          <w:szCs w:val="21"/>
          <w:highlight w:val="none"/>
        </w:rPr>
      </w:pPr>
      <w:r>
        <w:rPr>
          <w:rFonts w:hAnsi="宋体"/>
          <w:color w:val="auto"/>
          <w:kern w:val="2"/>
          <w:sz w:val="21"/>
          <w:szCs w:val="21"/>
          <w:highlight w:val="none"/>
          <w:lang w:val="zh-CN"/>
        </w:rPr>
        <w:t xml:space="preserve">25.1 </w:t>
      </w:r>
      <w:r>
        <w:rPr>
          <w:rFonts w:hint="eastAsia" w:hAnsi="宋体"/>
          <w:color w:val="auto"/>
          <w:kern w:val="2"/>
          <w:sz w:val="21"/>
          <w:szCs w:val="21"/>
          <w:highlight w:val="none"/>
          <w:lang w:val="zh-CN"/>
        </w:rPr>
        <w:t>资格性检查：依据法律法规和招标文件的规定，公开招标项目开标结束后，招标人或者招标代理机构应当依法对投标人的资格进行审查。合格投标人不足3家的，不得评标。</w:t>
      </w:r>
    </w:p>
    <w:p>
      <w:pPr>
        <w:spacing w:line="360" w:lineRule="auto"/>
        <w:ind w:left="540" w:hanging="540"/>
        <w:jc w:val="both"/>
        <w:rPr>
          <w:rFonts w:hint="eastAsia" w:hAnsi="宋体"/>
          <w:color w:val="auto"/>
          <w:sz w:val="21"/>
          <w:szCs w:val="21"/>
          <w:highlight w:val="none"/>
        </w:rPr>
      </w:pPr>
      <w:r>
        <w:rPr>
          <w:rFonts w:hAnsi="宋体"/>
          <w:color w:val="auto"/>
          <w:kern w:val="2"/>
          <w:sz w:val="21"/>
          <w:szCs w:val="21"/>
          <w:highlight w:val="none"/>
          <w:lang w:val="zh-CN"/>
        </w:rPr>
        <w:t xml:space="preserve">25.2 </w:t>
      </w:r>
      <w:r>
        <w:rPr>
          <w:rFonts w:hint="eastAsia" w:hAnsi="宋体"/>
          <w:color w:val="auto"/>
          <w:kern w:val="2"/>
          <w:sz w:val="21"/>
          <w:szCs w:val="21"/>
          <w:highlight w:val="none"/>
          <w:lang w:val="zh-CN"/>
        </w:rPr>
        <w:t>符合性检查：依据招标文件的规定，评标委员会应当对符合资格的投标人的投标文件进行符合性审查，以确定其是否满足招标文件的实质性要求。</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26</w:t>
      </w:r>
      <w:r>
        <w:rPr>
          <w:rFonts w:hAnsi="宋体"/>
          <w:color w:val="auto"/>
          <w:kern w:val="2"/>
          <w:sz w:val="21"/>
          <w:szCs w:val="21"/>
          <w:highlight w:val="none"/>
          <w:lang w:val="zh-CN"/>
        </w:rPr>
        <w:tab/>
      </w:r>
      <w:r>
        <w:rPr>
          <w:rFonts w:hint="eastAsia" w:hAnsi="宋体"/>
          <w:color w:val="auto"/>
          <w:kern w:val="2"/>
          <w:sz w:val="21"/>
          <w:szCs w:val="21"/>
          <w:highlight w:val="none"/>
          <w:lang w:val="zh-CN"/>
        </w:rPr>
        <w:t>投标文件的澄清</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26.1 对于投标文件中含义不明确、同类问题表述不一致或者有明显文字和计算错误的内容，评标委员会可以书面形式要求投标人作出必要的澄清、说明或者补正。</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26.2 投标人的澄清、说明或者补正应当采用书面形式，并加盖公章，或者由法定代表人或其授权的代表签字。投标人的澄清、说明或者补正不得超出投标文件的范围或者改变投标文件的实质性内容。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26.3 评标委员会成员均应当阅读投标人的澄清，但应独立参考澄清对投标文件进行评审。整个澄清的过程不得存在排斥潜在投标人的现象。</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26.4 如果投标文件实质上不响应招标文件的各项要求，评标委员会将按照符合性审查标准予以拒绝，不接受投标人通过修改或撤销其不符合要求的差异或保留，使之成为具有响应性的投标。</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27</w:t>
      </w:r>
      <w:r>
        <w:rPr>
          <w:rFonts w:hAnsi="宋体"/>
          <w:color w:val="auto"/>
          <w:kern w:val="2"/>
          <w:sz w:val="21"/>
          <w:szCs w:val="21"/>
          <w:highlight w:val="none"/>
          <w:lang w:val="zh-CN"/>
        </w:rPr>
        <w:tab/>
      </w:r>
      <w:r>
        <w:rPr>
          <w:rFonts w:hint="eastAsia" w:hAnsi="宋体"/>
          <w:color w:val="auto"/>
          <w:kern w:val="2"/>
          <w:sz w:val="21"/>
          <w:szCs w:val="21"/>
          <w:highlight w:val="none"/>
          <w:lang w:val="zh-CN"/>
        </w:rPr>
        <w:t>对投标文件的比较和评价</w:t>
      </w:r>
    </w:p>
    <w:p>
      <w:pPr>
        <w:tabs>
          <w:tab w:val="left" w:pos="540"/>
        </w:tabs>
        <w:spacing w:line="360" w:lineRule="auto"/>
        <w:ind w:left="540" w:right="18" w:hanging="540"/>
        <w:jc w:val="both"/>
        <w:rPr>
          <w:rFonts w:hAnsi="宋体"/>
          <w:color w:val="auto"/>
          <w:kern w:val="2"/>
          <w:sz w:val="21"/>
          <w:szCs w:val="21"/>
          <w:highlight w:val="none"/>
          <w:lang w:val="zh-CN"/>
        </w:rPr>
      </w:pPr>
      <w:r>
        <w:rPr>
          <w:rFonts w:hAnsi="宋体"/>
          <w:color w:val="auto"/>
          <w:kern w:val="2"/>
          <w:sz w:val="21"/>
          <w:szCs w:val="21"/>
          <w:highlight w:val="none"/>
          <w:lang w:val="zh-CN"/>
        </w:rPr>
        <w:t>27.1</w:t>
      </w:r>
      <w:r>
        <w:rPr>
          <w:rFonts w:hAnsi="宋体"/>
          <w:color w:val="auto"/>
          <w:kern w:val="2"/>
          <w:sz w:val="21"/>
          <w:szCs w:val="21"/>
          <w:highlight w:val="none"/>
          <w:lang w:val="zh-CN"/>
        </w:rPr>
        <w:tab/>
      </w:r>
      <w:r>
        <w:rPr>
          <w:rFonts w:hint="eastAsia" w:hAnsi="宋体"/>
          <w:color w:val="auto"/>
          <w:kern w:val="2"/>
          <w:sz w:val="21"/>
          <w:szCs w:val="21"/>
          <w:highlight w:val="none"/>
          <w:lang w:val="zh-CN"/>
        </w:rPr>
        <w:t>评标委员会将对符合性检查合格的投标文件进行比较和评价，包括技术、商务的详细评审。（</w:t>
      </w:r>
      <w:r>
        <w:rPr>
          <w:rFonts w:hint="eastAsia" w:hAnsi="宋体"/>
          <w:color w:val="auto"/>
          <w:sz w:val="21"/>
          <w:szCs w:val="21"/>
          <w:highlight w:val="none"/>
        </w:rPr>
        <w:t>详见评标工作大纲）</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28</w:t>
      </w:r>
      <w:r>
        <w:rPr>
          <w:rFonts w:hAnsi="宋体"/>
          <w:color w:val="auto"/>
          <w:kern w:val="2"/>
          <w:sz w:val="21"/>
          <w:szCs w:val="21"/>
          <w:highlight w:val="none"/>
          <w:lang w:val="zh-CN"/>
        </w:rPr>
        <w:tab/>
      </w:r>
      <w:r>
        <w:rPr>
          <w:rFonts w:hint="eastAsia" w:hAnsi="宋体"/>
          <w:color w:val="auto"/>
          <w:kern w:val="2"/>
          <w:sz w:val="21"/>
          <w:szCs w:val="21"/>
          <w:highlight w:val="none"/>
          <w:lang w:val="zh-CN"/>
        </w:rPr>
        <w:t>评标原则及方法</w:t>
      </w:r>
    </w:p>
    <w:p>
      <w:pPr>
        <w:tabs>
          <w:tab w:val="left" w:pos="360"/>
        </w:tabs>
        <w:spacing w:line="360" w:lineRule="auto"/>
        <w:ind w:left="540" w:right="51" w:hanging="540"/>
        <w:jc w:val="both"/>
        <w:rPr>
          <w:rFonts w:hint="eastAsia" w:hAnsi="宋体"/>
          <w:color w:val="auto"/>
          <w:sz w:val="21"/>
          <w:szCs w:val="21"/>
          <w:highlight w:val="none"/>
        </w:rPr>
      </w:pPr>
      <w:r>
        <w:rPr>
          <w:rFonts w:hAnsi="宋体"/>
          <w:color w:val="auto"/>
          <w:kern w:val="2"/>
          <w:sz w:val="21"/>
          <w:szCs w:val="21"/>
          <w:highlight w:val="none"/>
          <w:lang w:val="zh-CN"/>
        </w:rPr>
        <w:t>28.1</w:t>
      </w:r>
      <w:r>
        <w:rPr>
          <w:rFonts w:hAnsi="宋体"/>
          <w:color w:val="auto"/>
          <w:kern w:val="2"/>
          <w:sz w:val="21"/>
          <w:szCs w:val="21"/>
          <w:highlight w:val="none"/>
          <w:lang w:val="zh-CN"/>
        </w:rPr>
        <w:tab/>
      </w:r>
      <w:r>
        <w:rPr>
          <w:rFonts w:hint="eastAsia" w:hAnsi="宋体"/>
          <w:color w:val="auto"/>
          <w:sz w:val="21"/>
          <w:szCs w:val="21"/>
          <w:highlight w:val="none"/>
        </w:rPr>
        <w:t>坚持“公平、公正、科学、择优”的评标原则，严格评审。</w:t>
      </w:r>
    </w:p>
    <w:p>
      <w:pPr>
        <w:tabs>
          <w:tab w:val="left" w:pos="360"/>
        </w:tabs>
        <w:spacing w:line="360" w:lineRule="auto"/>
        <w:ind w:left="540" w:right="51"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28.2 确定中标人的评标准则是：能够最大限度满足招标文件中规定的各项综合评价标准。评标委员会没有义务必须接受最低报价的投标。</w:t>
      </w:r>
    </w:p>
    <w:p>
      <w:pPr>
        <w:tabs>
          <w:tab w:val="left" w:pos="360"/>
        </w:tabs>
        <w:spacing w:line="360" w:lineRule="auto"/>
        <w:ind w:left="540" w:right="51"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28.3 具体评标方法</w:t>
      </w:r>
      <w:r>
        <w:rPr>
          <w:rFonts w:hint="eastAsia" w:hAnsi="宋体"/>
          <w:color w:val="auto"/>
          <w:sz w:val="21"/>
          <w:szCs w:val="21"/>
          <w:highlight w:val="none"/>
        </w:rPr>
        <w:t>详见评标工作大纲。</w:t>
      </w:r>
    </w:p>
    <w:p>
      <w:pPr>
        <w:tabs>
          <w:tab w:val="left" w:pos="567"/>
          <w:tab w:val="left" w:pos="720"/>
          <w:tab w:val="left" w:pos="3460"/>
        </w:tabs>
        <w:spacing w:line="360" w:lineRule="auto"/>
        <w:ind w:left="567" w:hanging="567"/>
        <w:jc w:val="both"/>
        <w:rPr>
          <w:rFonts w:hAnsi="宋体"/>
          <w:color w:val="auto"/>
          <w:sz w:val="21"/>
          <w:szCs w:val="21"/>
          <w:highlight w:val="none"/>
        </w:rPr>
      </w:pPr>
      <w:r>
        <w:rPr>
          <w:rFonts w:hint="eastAsia" w:hAnsi="宋体"/>
          <w:color w:val="auto"/>
          <w:sz w:val="21"/>
          <w:szCs w:val="21"/>
          <w:highlight w:val="none"/>
        </w:rPr>
        <w:t xml:space="preserve">29  </w:t>
      </w:r>
      <w:r>
        <w:rPr>
          <w:rFonts w:hAnsi="宋体"/>
          <w:color w:val="auto"/>
          <w:sz w:val="21"/>
          <w:szCs w:val="21"/>
          <w:highlight w:val="none"/>
        </w:rPr>
        <w:t>定标</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29</w:t>
      </w:r>
      <w:r>
        <w:rPr>
          <w:rFonts w:hAnsi="宋体"/>
          <w:color w:val="auto"/>
          <w:kern w:val="2"/>
          <w:sz w:val="21"/>
          <w:szCs w:val="21"/>
          <w:highlight w:val="none"/>
          <w:lang w:val="zh-CN"/>
        </w:rPr>
        <w:t>.1</w:t>
      </w:r>
      <w:r>
        <w:rPr>
          <w:rFonts w:hint="eastAsia" w:hAnsi="宋体"/>
          <w:color w:val="auto"/>
          <w:kern w:val="2"/>
          <w:sz w:val="21"/>
          <w:szCs w:val="21"/>
          <w:highlight w:val="none"/>
          <w:lang w:val="zh-CN"/>
        </w:rPr>
        <w:t xml:space="preserve"> 招标人确认评标委员会推荐的评标结果后，由招标人对中标候选投标人的资格和履约能力进行再次审查，凡发现中标候选投标人有下列情形之一的，将移交相关监督部门依法处理：</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提供虚假材料谋取中标的；</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采取不正当手段诋毁、排挤其他投标人的；</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与招标人、其他投标人恶意串通的；</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向招标人行贿或者提供其他不正当利益的；</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在招标过程中与招标人进行协商谈判、不按照招标文件和中标人的投标文件订立合同，或者与招标人另行订立背离合同实质性内容的协议的；</w:t>
      </w:r>
    </w:p>
    <w:p>
      <w:pPr>
        <w:numPr>
          <w:ilvl w:val="0"/>
          <w:numId w:val="16"/>
        </w:numPr>
        <w:tabs>
          <w:tab w:val="left" w:pos="540"/>
          <w:tab w:val="left" w:pos="1134"/>
          <w:tab w:val="clear" w:pos="960"/>
        </w:tabs>
        <w:spacing w:line="360" w:lineRule="auto"/>
        <w:ind w:left="1134" w:right="17" w:rightChars="7" w:hanging="594"/>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拒绝有关部门监督检查或者提供虚假情况的。</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29</w:t>
      </w:r>
      <w:r>
        <w:rPr>
          <w:rFonts w:hAnsi="宋体"/>
          <w:color w:val="auto"/>
          <w:kern w:val="2"/>
          <w:sz w:val="21"/>
          <w:szCs w:val="21"/>
          <w:highlight w:val="none"/>
          <w:lang w:val="zh-CN"/>
        </w:rPr>
        <w:t>.</w:t>
      </w:r>
      <w:r>
        <w:rPr>
          <w:rFonts w:hint="eastAsia" w:hAnsi="宋体"/>
          <w:color w:val="auto"/>
          <w:kern w:val="2"/>
          <w:sz w:val="21"/>
          <w:szCs w:val="21"/>
          <w:highlight w:val="none"/>
          <w:lang w:val="zh-CN"/>
        </w:rPr>
        <w:t>2 投标人有前款（1）至（</w:t>
      </w:r>
      <w:r>
        <w:rPr>
          <w:rFonts w:hint="eastAsia" w:hAnsi="宋体"/>
          <w:color w:val="auto"/>
          <w:kern w:val="2"/>
          <w:sz w:val="21"/>
          <w:szCs w:val="21"/>
          <w:highlight w:val="none"/>
        </w:rPr>
        <w:t>6</w:t>
      </w:r>
      <w:r>
        <w:rPr>
          <w:rFonts w:hint="eastAsia" w:hAnsi="宋体"/>
          <w:color w:val="auto"/>
          <w:kern w:val="2"/>
          <w:sz w:val="21"/>
          <w:szCs w:val="21"/>
          <w:highlight w:val="none"/>
          <w:lang w:val="zh-CN"/>
        </w:rPr>
        <w:t>）项情形之一的，中标无效。</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29</w:t>
      </w:r>
      <w:r>
        <w:rPr>
          <w:rFonts w:hAnsi="宋体"/>
          <w:color w:val="auto"/>
          <w:kern w:val="2"/>
          <w:sz w:val="21"/>
          <w:szCs w:val="21"/>
          <w:highlight w:val="none"/>
          <w:lang w:val="zh-CN"/>
        </w:rPr>
        <w:t>.</w:t>
      </w:r>
      <w:r>
        <w:rPr>
          <w:rFonts w:hint="eastAsia" w:hAnsi="宋体"/>
          <w:color w:val="auto"/>
          <w:kern w:val="2"/>
          <w:sz w:val="21"/>
          <w:szCs w:val="21"/>
          <w:highlight w:val="none"/>
          <w:lang w:val="zh-CN"/>
        </w:rPr>
        <w:t>3 招标代理机构在评标结束后将评标推荐意见及招标结果确认书送招标人。招标人依法确定中标人。</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bookmarkStart w:id="19" w:name="_Toc396137240"/>
      <w:r>
        <w:rPr>
          <w:rFonts w:hint="eastAsia" w:hAnsi="宋体"/>
          <w:color w:val="auto"/>
          <w:kern w:val="2"/>
          <w:sz w:val="21"/>
          <w:szCs w:val="21"/>
          <w:highlight w:val="none"/>
        </w:rPr>
        <w:t xml:space="preserve">30  </w:t>
      </w:r>
      <w:r>
        <w:rPr>
          <w:rFonts w:hint="eastAsia" w:hAnsi="宋体"/>
          <w:color w:val="auto"/>
          <w:kern w:val="2"/>
          <w:sz w:val="21"/>
          <w:szCs w:val="21"/>
          <w:highlight w:val="none"/>
          <w:lang w:val="zh-CN"/>
        </w:rPr>
        <w:t>资格后审</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30.1 </w:t>
      </w:r>
      <w:r>
        <w:rPr>
          <w:rFonts w:hint="eastAsia" w:hAnsi="宋体"/>
          <w:color w:val="auto"/>
          <w:kern w:val="2"/>
          <w:sz w:val="21"/>
          <w:szCs w:val="21"/>
          <w:highlight w:val="none"/>
          <w:lang w:val="zh-CN"/>
        </w:rPr>
        <w:t>招标人将根据本文件中的要求，对评委会推荐的中标候选人进行资格后审。</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30.2 </w:t>
      </w:r>
      <w:r>
        <w:rPr>
          <w:rFonts w:hint="eastAsia" w:hAnsi="宋体"/>
          <w:color w:val="auto"/>
          <w:kern w:val="2"/>
          <w:sz w:val="21"/>
          <w:szCs w:val="21"/>
          <w:highlight w:val="none"/>
          <w:lang w:val="zh-CN"/>
        </w:rPr>
        <w:t>中标候选人须无条件配合资格后审，否则招标人有权取消其中标资格，且投标保证金可不予退还。</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30.3 </w:t>
      </w:r>
      <w:r>
        <w:rPr>
          <w:rFonts w:hint="eastAsia" w:hAnsi="宋体"/>
          <w:color w:val="auto"/>
          <w:kern w:val="2"/>
          <w:sz w:val="21"/>
          <w:szCs w:val="21"/>
          <w:highlight w:val="none"/>
          <w:lang w:val="zh-CN"/>
        </w:rPr>
        <w:t>资格后审须提供包括但不限于营业执照、税务登记证和在投标文件中提供的资质证明文件、业绩等重要证明文件的原件进行核对，综合考察中标供应商的履约能力。如招标人要求还须提供业绩证明的其他材料,中标候选人须配合提供。如授权其分支机构进行项目实施或提供售后服务的，亦应提供其与分支机构关系的法律证明材料。</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30.4 </w:t>
      </w:r>
      <w:r>
        <w:rPr>
          <w:rFonts w:hint="eastAsia" w:hAnsi="宋体"/>
          <w:color w:val="auto"/>
          <w:kern w:val="2"/>
          <w:sz w:val="21"/>
          <w:szCs w:val="21"/>
          <w:highlight w:val="none"/>
          <w:lang w:val="zh-CN"/>
        </w:rPr>
        <w:t>如发现中标候选人以他人名义投标或者以其他方式弄虚作假，骗取中标的，招标人有权取消其中标资格，且投标保证金可不予退还；给招标人造成损失的，应依法承担赔偿责任。</w:t>
      </w:r>
    </w:p>
    <w:p>
      <w:pPr>
        <w:tabs>
          <w:tab w:val="left" w:pos="540"/>
          <w:tab w:val="left" w:pos="720"/>
          <w:tab w:val="left" w:pos="346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30.5 </w:t>
      </w:r>
      <w:r>
        <w:rPr>
          <w:rFonts w:hint="eastAsia" w:hAnsi="宋体"/>
          <w:color w:val="auto"/>
          <w:kern w:val="2"/>
          <w:sz w:val="21"/>
          <w:szCs w:val="21"/>
          <w:highlight w:val="none"/>
          <w:lang w:val="zh-CN"/>
        </w:rPr>
        <w:t>招标人有权审查中标候选人是否具备履行合同的能力，包括但不限于对其规模、人员、场地、生产能力、供货能力等方面的核实或现场考察。如果审查通过，招标人将把合同授予该中标人；如果审查没有通过，招标人有权取消其中标资格，且投标保证金可不予退还，并依次审查下一名中标候选人是否具备履行合同的能力或重新招标。</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1</w:t>
      </w:r>
      <w:r>
        <w:rPr>
          <w:rFonts w:hAnsi="宋体"/>
          <w:color w:val="auto"/>
          <w:kern w:val="2"/>
          <w:sz w:val="21"/>
          <w:szCs w:val="21"/>
          <w:highlight w:val="none"/>
          <w:lang w:val="zh-CN"/>
        </w:rPr>
        <w:tab/>
      </w:r>
      <w:r>
        <w:rPr>
          <w:rFonts w:hint="eastAsia" w:hAnsi="宋体"/>
          <w:color w:val="auto"/>
          <w:kern w:val="2"/>
          <w:sz w:val="21"/>
          <w:szCs w:val="21"/>
          <w:highlight w:val="none"/>
          <w:lang w:val="zh-CN"/>
        </w:rPr>
        <w:t>中标通知</w:t>
      </w:r>
    </w:p>
    <w:p>
      <w:pPr>
        <w:tabs>
          <w:tab w:val="left" w:pos="540"/>
        </w:tabs>
        <w:spacing w:line="360" w:lineRule="auto"/>
        <w:ind w:left="540" w:right="18" w:hanging="540"/>
        <w:jc w:val="both"/>
        <w:rPr>
          <w:rFonts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1</w:t>
      </w:r>
      <w:r>
        <w:rPr>
          <w:rFonts w:hAnsi="宋体"/>
          <w:color w:val="auto"/>
          <w:kern w:val="2"/>
          <w:sz w:val="21"/>
          <w:szCs w:val="21"/>
          <w:highlight w:val="none"/>
          <w:lang w:val="zh-CN"/>
        </w:rPr>
        <w:t>.1</w:t>
      </w:r>
      <w:r>
        <w:rPr>
          <w:rFonts w:hAnsi="宋体"/>
          <w:color w:val="auto"/>
          <w:kern w:val="2"/>
          <w:sz w:val="21"/>
          <w:szCs w:val="21"/>
          <w:highlight w:val="none"/>
          <w:lang w:val="zh-CN"/>
        </w:rPr>
        <w:tab/>
      </w:r>
      <w:r>
        <w:rPr>
          <w:rFonts w:hint="eastAsia" w:hAnsi="宋体"/>
          <w:color w:val="auto"/>
          <w:kern w:val="2"/>
          <w:sz w:val="21"/>
          <w:szCs w:val="21"/>
          <w:highlight w:val="none"/>
          <w:lang w:val="zh-CN"/>
        </w:rPr>
        <w:t>招标代理机构自招标人确定中标人之日起2个工作日内，发出中标通知书，并在指定的招标信息媒体上公告中标结果。</w:t>
      </w:r>
    </w:p>
    <w:p>
      <w:pPr>
        <w:spacing w:line="360" w:lineRule="auto"/>
        <w:ind w:left="540" w:right="18" w:hanging="540"/>
        <w:jc w:val="both"/>
        <w:rPr>
          <w:rFonts w:hint="eastAsia"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1</w:t>
      </w:r>
      <w:r>
        <w:rPr>
          <w:rFonts w:hAnsi="宋体"/>
          <w:color w:val="auto"/>
          <w:kern w:val="2"/>
          <w:sz w:val="21"/>
          <w:szCs w:val="21"/>
          <w:highlight w:val="none"/>
          <w:lang w:val="zh-CN"/>
        </w:rPr>
        <w:t>.2</w:t>
      </w:r>
      <w:r>
        <w:rPr>
          <w:rFonts w:hAnsi="宋体"/>
          <w:color w:val="auto"/>
          <w:kern w:val="2"/>
          <w:sz w:val="21"/>
          <w:szCs w:val="21"/>
          <w:highlight w:val="none"/>
          <w:lang w:val="zh-CN"/>
        </w:rPr>
        <w:tab/>
      </w:r>
      <w:r>
        <w:rPr>
          <w:rFonts w:hint="eastAsia" w:hAnsi="宋体"/>
          <w:color w:val="auto"/>
          <w:kern w:val="2"/>
          <w:sz w:val="21"/>
          <w:szCs w:val="21"/>
          <w:highlight w:val="none"/>
          <w:lang w:val="zh-CN"/>
        </w:rPr>
        <w:t>《中标通知书》是合同的一个组成部分，《中标通知书》对招标人和中标人均具有同等法律效力；《中标通知书》发出后，招标人改变中标结果，或者中标人放弃中标，应当承担相应的法律责任。</w:t>
      </w:r>
    </w:p>
    <w:p>
      <w:pPr>
        <w:tabs>
          <w:tab w:val="left" w:pos="567"/>
          <w:tab w:val="left" w:pos="720"/>
          <w:tab w:val="left" w:pos="3460"/>
        </w:tabs>
        <w:spacing w:line="360" w:lineRule="auto"/>
        <w:ind w:left="567" w:hanging="567"/>
        <w:jc w:val="both"/>
        <w:rPr>
          <w:rFonts w:hAnsi="宋体"/>
          <w:color w:val="auto"/>
          <w:sz w:val="21"/>
          <w:szCs w:val="21"/>
          <w:highlight w:val="none"/>
        </w:rPr>
      </w:pPr>
      <w:r>
        <w:rPr>
          <w:rFonts w:hint="eastAsia" w:hAnsi="宋体"/>
          <w:color w:val="auto"/>
          <w:sz w:val="21"/>
          <w:szCs w:val="21"/>
          <w:highlight w:val="none"/>
        </w:rPr>
        <w:t>32   废标的认定</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2</w:t>
      </w:r>
      <w:r>
        <w:rPr>
          <w:rFonts w:hAnsi="宋体"/>
          <w:color w:val="auto"/>
          <w:kern w:val="2"/>
          <w:sz w:val="21"/>
          <w:szCs w:val="21"/>
          <w:highlight w:val="none"/>
          <w:lang w:val="zh-CN"/>
        </w:rPr>
        <w:t>.1</w:t>
      </w:r>
      <w:r>
        <w:rPr>
          <w:rFonts w:hint="eastAsia" w:hAnsi="宋体"/>
          <w:color w:val="auto"/>
          <w:kern w:val="2"/>
          <w:sz w:val="21"/>
          <w:szCs w:val="21"/>
          <w:highlight w:val="none"/>
          <w:lang w:val="zh-CN"/>
        </w:rPr>
        <w:t xml:space="preserve"> 符合专业条件的投标人或者对招标文件作实质响应的投标人不足三家的；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2</w:t>
      </w:r>
      <w:r>
        <w:rPr>
          <w:rFonts w:hAnsi="宋体"/>
          <w:color w:val="auto"/>
          <w:kern w:val="2"/>
          <w:sz w:val="21"/>
          <w:szCs w:val="21"/>
          <w:highlight w:val="none"/>
          <w:lang w:val="zh-CN"/>
        </w:rPr>
        <w:t>.</w:t>
      </w:r>
      <w:r>
        <w:rPr>
          <w:rFonts w:hint="eastAsia" w:hAnsi="宋体"/>
          <w:color w:val="auto"/>
          <w:kern w:val="2"/>
          <w:sz w:val="21"/>
          <w:szCs w:val="21"/>
          <w:highlight w:val="none"/>
          <w:lang w:val="zh-CN"/>
        </w:rPr>
        <w:t>2 出现影响招标公正的违法、违规行为的；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2</w:t>
      </w:r>
      <w:r>
        <w:rPr>
          <w:rFonts w:hAnsi="宋体"/>
          <w:color w:val="auto"/>
          <w:kern w:val="2"/>
          <w:sz w:val="21"/>
          <w:szCs w:val="21"/>
          <w:highlight w:val="none"/>
          <w:lang w:val="zh-CN"/>
        </w:rPr>
        <w:t>.</w:t>
      </w:r>
      <w:r>
        <w:rPr>
          <w:rFonts w:hint="eastAsia" w:hAnsi="宋体"/>
          <w:color w:val="auto"/>
          <w:kern w:val="2"/>
          <w:sz w:val="21"/>
          <w:szCs w:val="21"/>
          <w:highlight w:val="none"/>
          <w:lang w:val="zh-CN"/>
        </w:rPr>
        <w:t>3 投标人的报价均超过了招标预算，招标人不能支付的</w:t>
      </w:r>
      <w:r>
        <w:rPr>
          <w:rFonts w:hAnsi="宋体"/>
          <w:color w:val="auto"/>
          <w:kern w:val="2"/>
          <w:sz w:val="21"/>
          <w:szCs w:val="21"/>
          <w:highlight w:val="none"/>
          <w:lang w:val="zh-CN"/>
        </w:rPr>
        <w:t>或均超过了最高限额</w:t>
      </w:r>
      <w:r>
        <w:rPr>
          <w:rFonts w:hint="eastAsia" w:hAnsi="宋体"/>
          <w:color w:val="auto"/>
          <w:kern w:val="2"/>
          <w:sz w:val="21"/>
          <w:szCs w:val="21"/>
          <w:highlight w:val="none"/>
          <w:lang w:val="zh-CN"/>
        </w:rPr>
        <w:t>；</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2</w:t>
      </w:r>
      <w:r>
        <w:rPr>
          <w:rFonts w:hAnsi="宋体"/>
          <w:color w:val="auto"/>
          <w:kern w:val="2"/>
          <w:sz w:val="21"/>
          <w:szCs w:val="21"/>
          <w:highlight w:val="none"/>
          <w:lang w:val="zh-CN"/>
        </w:rPr>
        <w:t>.</w:t>
      </w:r>
      <w:r>
        <w:rPr>
          <w:rFonts w:hint="eastAsia" w:hAnsi="宋体"/>
          <w:color w:val="auto"/>
          <w:kern w:val="2"/>
          <w:sz w:val="21"/>
          <w:szCs w:val="21"/>
          <w:highlight w:val="none"/>
          <w:lang w:val="zh-CN"/>
        </w:rPr>
        <w:t>4 因重大变故，招标任务取消的。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2.5 </w:t>
      </w:r>
      <w:r>
        <w:rPr>
          <w:rFonts w:hint="eastAsia" w:hAnsi="宋体"/>
          <w:color w:val="auto"/>
          <w:kern w:val="2"/>
          <w:sz w:val="21"/>
          <w:szCs w:val="21"/>
          <w:highlight w:val="none"/>
          <w:lang w:val="zh-CN"/>
        </w:rPr>
        <w:t>未按招标文件规定提交投标保证金的；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2.6 </w:t>
      </w:r>
      <w:r>
        <w:rPr>
          <w:rFonts w:hint="eastAsia" w:hAnsi="宋体"/>
          <w:color w:val="auto"/>
          <w:kern w:val="2"/>
          <w:sz w:val="21"/>
          <w:szCs w:val="21"/>
          <w:highlight w:val="none"/>
          <w:lang w:val="zh-CN"/>
        </w:rPr>
        <w:t>投标人资格条件不满足招标文件要求；</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2.7 </w:t>
      </w:r>
      <w:r>
        <w:rPr>
          <w:rFonts w:hint="eastAsia" w:hAnsi="宋体"/>
          <w:color w:val="auto"/>
          <w:kern w:val="2"/>
          <w:sz w:val="21"/>
          <w:szCs w:val="21"/>
          <w:highlight w:val="none"/>
          <w:lang w:val="zh-CN"/>
        </w:rPr>
        <w:t>投标文件未按招标文件要求编制、签字和盖章的；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2.8 </w:t>
      </w:r>
      <w:r>
        <w:rPr>
          <w:rFonts w:hint="eastAsia" w:hAnsi="宋体"/>
          <w:color w:val="auto"/>
          <w:kern w:val="2"/>
          <w:sz w:val="21"/>
          <w:szCs w:val="21"/>
          <w:highlight w:val="none"/>
          <w:lang w:val="zh-CN"/>
        </w:rPr>
        <w:t>本次招标所要求具备的各项证件、证书、及个人身份证失效或被相关行政部门扣留或吊销的；</w:t>
      </w:r>
    </w:p>
    <w:p>
      <w:pPr>
        <w:tabs>
          <w:tab w:val="left" w:pos="540"/>
        </w:tabs>
        <w:spacing w:line="360" w:lineRule="auto"/>
        <w:ind w:left="540" w:right="18" w:hanging="540"/>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 xml:space="preserve">2.9 </w:t>
      </w:r>
      <w:r>
        <w:rPr>
          <w:rFonts w:hint="eastAsia" w:hAnsi="宋体"/>
          <w:color w:val="auto"/>
          <w:kern w:val="2"/>
          <w:sz w:val="21"/>
          <w:szCs w:val="21"/>
          <w:highlight w:val="none"/>
          <w:lang w:val="zh-CN"/>
        </w:rPr>
        <w:t>经认定属于</w:t>
      </w:r>
      <w:r>
        <w:rPr>
          <w:rFonts w:hAnsi="宋体"/>
          <w:color w:val="auto"/>
          <w:kern w:val="2"/>
          <w:sz w:val="21"/>
          <w:szCs w:val="21"/>
          <w:highlight w:val="none"/>
          <w:lang w:val="zh-CN"/>
        </w:rPr>
        <w:t>33</w:t>
      </w:r>
      <w:r>
        <w:rPr>
          <w:rFonts w:hint="eastAsia" w:hAnsi="宋体"/>
          <w:color w:val="auto"/>
          <w:kern w:val="2"/>
          <w:sz w:val="21"/>
          <w:szCs w:val="21"/>
          <w:highlight w:val="none"/>
          <w:lang w:val="zh-CN"/>
        </w:rPr>
        <w:t>款规定的串通投标情形的；</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Ansi="宋体"/>
          <w:color w:val="auto"/>
          <w:kern w:val="2"/>
          <w:sz w:val="21"/>
          <w:szCs w:val="21"/>
          <w:highlight w:val="none"/>
          <w:lang w:val="zh-CN"/>
        </w:rPr>
        <w:t>2.10</w:t>
      </w:r>
      <w:r>
        <w:rPr>
          <w:rFonts w:hint="eastAsia" w:hAnsi="宋体"/>
          <w:color w:val="auto"/>
          <w:kern w:val="2"/>
          <w:sz w:val="21"/>
          <w:szCs w:val="21"/>
          <w:highlight w:val="none"/>
          <w:lang w:val="zh-CN"/>
        </w:rPr>
        <w:t xml:space="preserve"> 属于招标文件中规定为无效标的；属于法律、法规、规章规定的应作无效投标文件处理的。</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   </w:t>
      </w:r>
      <w:r>
        <w:rPr>
          <w:rFonts w:hint="eastAsia" w:hAnsi="宋体"/>
          <w:color w:val="auto"/>
          <w:kern w:val="2"/>
          <w:sz w:val="21"/>
          <w:szCs w:val="21"/>
          <w:highlight w:val="none"/>
          <w:lang w:val="zh-CN"/>
        </w:rPr>
        <w:t>有下列情形之一的，视为投标人串通投标，其投标无效：</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33.1 </w:t>
      </w:r>
      <w:r>
        <w:rPr>
          <w:rFonts w:hint="eastAsia" w:hAnsi="宋体"/>
          <w:color w:val="auto"/>
          <w:kern w:val="2"/>
          <w:sz w:val="21"/>
          <w:szCs w:val="21"/>
          <w:highlight w:val="none"/>
          <w:lang w:val="zh-CN"/>
        </w:rPr>
        <w:t>不同投标人的投标文件由同一单位或者个人编制;</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33.2 </w:t>
      </w:r>
      <w:r>
        <w:rPr>
          <w:rFonts w:hint="eastAsia" w:hAnsi="宋体"/>
          <w:color w:val="auto"/>
          <w:kern w:val="2"/>
          <w:sz w:val="21"/>
          <w:szCs w:val="21"/>
          <w:highlight w:val="none"/>
          <w:lang w:val="zh-CN"/>
        </w:rPr>
        <w:t>不同投标人委托同一单位或者个人办理投标事宜;</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33.3 </w:t>
      </w:r>
      <w:r>
        <w:rPr>
          <w:rFonts w:hint="eastAsia" w:hAnsi="宋体"/>
          <w:color w:val="auto"/>
          <w:kern w:val="2"/>
          <w:sz w:val="21"/>
          <w:szCs w:val="21"/>
          <w:highlight w:val="none"/>
          <w:lang w:val="zh-CN"/>
        </w:rPr>
        <w:t>不同投标人的投标文件载明的项目管理成员或者联系人员为同一人;</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33.4 </w:t>
      </w:r>
      <w:r>
        <w:rPr>
          <w:rFonts w:hint="eastAsia" w:hAnsi="宋体"/>
          <w:color w:val="auto"/>
          <w:kern w:val="2"/>
          <w:sz w:val="21"/>
          <w:szCs w:val="21"/>
          <w:highlight w:val="none"/>
          <w:lang w:val="zh-CN"/>
        </w:rPr>
        <w:t>不同投标人的投标文件异常一致或者投标报价呈规律性差异;</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33.5 </w:t>
      </w:r>
      <w:r>
        <w:rPr>
          <w:rFonts w:hint="eastAsia" w:hAnsi="宋体"/>
          <w:color w:val="auto"/>
          <w:kern w:val="2"/>
          <w:sz w:val="21"/>
          <w:szCs w:val="21"/>
          <w:highlight w:val="none"/>
          <w:lang w:val="zh-CN"/>
        </w:rPr>
        <w:t>不同投标人的投标文件相互混装;</w:t>
      </w:r>
    </w:p>
    <w:p>
      <w:pPr>
        <w:tabs>
          <w:tab w:val="left" w:pos="540"/>
        </w:tabs>
        <w:spacing w:line="360" w:lineRule="auto"/>
        <w:ind w:left="540" w:right="18" w:hanging="540"/>
        <w:jc w:val="both"/>
        <w:rPr>
          <w:rFonts w:hint="eastAsia" w:hAnsi="宋体"/>
          <w:color w:val="auto"/>
          <w:kern w:val="2"/>
          <w:sz w:val="21"/>
          <w:szCs w:val="21"/>
          <w:highlight w:val="none"/>
          <w:lang w:val="zh-CN"/>
        </w:rPr>
      </w:pPr>
      <w:r>
        <w:rPr>
          <w:rFonts w:hint="eastAsia" w:hAnsi="宋体"/>
          <w:color w:val="auto"/>
          <w:kern w:val="2"/>
          <w:sz w:val="21"/>
          <w:szCs w:val="21"/>
          <w:highlight w:val="none"/>
        </w:rPr>
        <w:t xml:space="preserve">33.6 </w:t>
      </w:r>
      <w:r>
        <w:rPr>
          <w:rFonts w:hint="eastAsia" w:hAnsi="宋体"/>
          <w:color w:val="auto"/>
          <w:kern w:val="2"/>
          <w:sz w:val="21"/>
          <w:szCs w:val="21"/>
          <w:highlight w:val="none"/>
          <w:lang w:val="zh-CN"/>
        </w:rPr>
        <w:t>不同投标人的投标保证金从同一单位或者个人的账户转出。</w:t>
      </w:r>
    </w:p>
    <w:p>
      <w:pPr>
        <w:rPr>
          <w:rFonts w:hint="eastAsia"/>
          <w:color w:val="auto"/>
          <w:highlight w:val="none"/>
          <w:lang w:val="zh-CN"/>
        </w:rPr>
      </w:pPr>
      <w:bookmarkStart w:id="20" w:name="_Toc396137238"/>
    </w:p>
    <w:p>
      <w:pPr>
        <w:pStyle w:val="4"/>
        <w:tabs>
          <w:tab w:val="center" w:pos="4819"/>
        </w:tabs>
        <w:spacing w:line="360" w:lineRule="auto"/>
        <w:rPr>
          <w:rFonts w:hint="eastAsia" w:hAnsi="宋体"/>
          <w:b/>
          <w:bCs/>
          <w:color w:val="auto"/>
          <w:kern w:val="44"/>
          <w:sz w:val="21"/>
          <w:szCs w:val="21"/>
          <w:highlight w:val="none"/>
          <w:lang w:val="zh-CN"/>
        </w:rPr>
      </w:pPr>
      <w:bookmarkStart w:id="21" w:name="_Toc24036"/>
      <w:bookmarkStart w:id="22" w:name="_Toc4540"/>
      <w:r>
        <w:rPr>
          <w:rFonts w:hint="eastAsia" w:hAnsi="宋体"/>
          <w:b/>
          <w:bCs/>
          <w:color w:val="auto"/>
          <w:kern w:val="44"/>
          <w:sz w:val="21"/>
          <w:szCs w:val="21"/>
          <w:highlight w:val="none"/>
          <w:lang w:val="zh-CN"/>
        </w:rPr>
        <w:t>（六）授予合同</w:t>
      </w:r>
      <w:bookmarkEnd w:id="20"/>
      <w:bookmarkEnd w:id="21"/>
      <w:bookmarkEnd w:id="22"/>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4</w:t>
      </w:r>
      <w:r>
        <w:rPr>
          <w:rFonts w:hAnsi="宋体"/>
          <w:color w:val="auto"/>
          <w:kern w:val="2"/>
          <w:sz w:val="21"/>
          <w:szCs w:val="21"/>
          <w:highlight w:val="none"/>
          <w:lang w:val="zh-CN"/>
        </w:rPr>
        <w:tab/>
      </w:r>
      <w:r>
        <w:rPr>
          <w:rFonts w:hint="eastAsia" w:hAnsi="宋体"/>
          <w:color w:val="auto"/>
          <w:kern w:val="2"/>
          <w:sz w:val="21"/>
          <w:szCs w:val="21"/>
          <w:highlight w:val="none"/>
          <w:lang w:val="zh-CN"/>
        </w:rPr>
        <w:t>授予合同的准则</w:t>
      </w:r>
    </w:p>
    <w:p>
      <w:pPr>
        <w:tabs>
          <w:tab w:val="left" w:pos="540"/>
        </w:tabs>
        <w:spacing w:line="360" w:lineRule="auto"/>
        <w:ind w:left="540" w:right="51"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4</w:t>
      </w:r>
      <w:r>
        <w:rPr>
          <w:rFonts w:hint="eastAsia" w:hAnsi="宋体"/>
          <w:color w:val="auto"/>
          <w:kern w:val="2"/>
          <w:sz w:val="21"/>
          <w:szCs w:val="21"/>
          <w:highlight w:val="none"/>
          <w:lang w:val="zh-CN"/>
        </w:rPr>
        <w:t>.1 招标人将合同授予其投标文件符合招标文件要求，并且能承诺履行合同，对招标人最为有利的投标人。</w:t>
      </w:r>
    </w:p>
    <w:p>
      <w:pPr>
        <w:tabs>
          <w:tab w:val="left" w:pos="540"/>
        </w:tabs>
        <w:spacing w:line="360" w:lineRule="auto"/>
        <w:ind w:left="540" w:right="51" w:hanging="54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4</w:t>
      </w:r>
      <w:r>
        <w:rPr>
          <w:rFonts w:hint="eastAsia" w:hAnsi="宋体"/>
          <w:color w:val="auto"/>
          <w:kern w:val="2"/>
          <w:sz w:val="21"/>
          <w:szCs w:val="21"/>
          <w:highlight w:val="none"/>
          <w:lang w:val="zh-CN"/>
        </w:rPr>
        <w:t>.2 招标人依法</w:t>
      </w:r>
      <w:r>
        <w:rPr>
          <w:rFonts w:hint="eastAsia" w:hAnsi="宋体" w:cs="宋体"/>
          <w:color w:val="auto"/>
          <w:sz w:val="21"/>
          <w:szCs w:val="21"/>
          <w:highlight w:val="none"/>
        </w:rPr>
        <w:t>按照评标报告中推荐的中标候选人顺序</w:t>
      </w:r>
      <w:r>
        <w:rPr>
          <w:rFonts w:hint="eastAsia" w:hAnsi="宋体"/>
          <w:color w:val="auto"/>
          <w:kern w:val="2"/>
          <w:sz w:val="21"/>
          <w:szCs w:val="21"/>
          <w:highlight w:val="none"/>
          <w:lang w:val="zh-CN"/>
        </w:rPr>
        <w:t>确定中标人。</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5</w:t>
      </w:r>
      <w:r>
        <w:rPr>
          <w:rFonts w:hAnsi="宋体"/>
          <w:color w:val="auto"/>
          <w:kern w:val="2"/>
          <w:sz w:val="21"/>
          <w:szCs w:val="21"/>
          <w:highlight w:val="none"/>
          <w:lang w:val="zh-CN"/>
        </w:rPr>
        <w:tab/>
      </w:r>
      <w:r>
        <w:rPr>
          <w:rFonts w:hint="eastAsia" w:hAnsi="宋体"/>
          <w:color w:val="auto"/>
          <w:kern w:val="2"/>
          <w:sz w:val="21"/>
          <w:szCs w:val="21"/>
          <w:highlight w:val="none"/>
          <w:lang w:val="zh-CN"/>
        </w:rPr>
        <w:t>合同的订立和履行</w:t>
      </w:r>
    </w:p>
    <w:p>
      <w:pPr>
        <w:tabs>
          <w:tab w:val="left" w:pos="540"/>
        </w:tabs>
        <w:spacing w:line="360" w:lineRule="auto"/>
        <w:ind w:left="540" w:right="18" w:hanging="540"/>
        <w:jc w:val="both"/>
        <w:rPr>
          <w:rFonts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5</w:t>
      </w:r>
      <w:r>
        <w:rPr>
          <w:rFonts w:hAnsi="宋体"/>
          <w:color w:val="auto"/>
          <w:kern w:val="2"/>
          <w:sz w:val="21"/>
          <w:szCs w:val="21"/>
          <w:highlight w:val="none"/>
          <w:lang w:val="zh-CN"/>
        </w:rPr>
        <w:t>.1</w:t>
      </w:r>
      <w:r>
        <w:rPr>
          <w:rFonts w:hint="eastAsia" w:hAnsi="宋体"/>
          <w:color w:val="auto"/>
          <w:kern w:val="2"/>
          <w:sz w:val="21"/>
          <w:szCs w:val="21"/>
          <w:highlight w:val="none"/>
          <w:lang w:val="zh-CN"/>
        </w:rPr>
        <w:t xml:space="preserve"> 招标代理机构通知中标人中标时，将提供招标文件中的合同格式（包括双方之间的有关协议）给中标人。</w:t>
      </w:r>
    </w:p>
    <w:p>
      <w:pPr>
        <w:tabs>
          <w:tab w:val="left" w:pos="540"/>
        </w:tabs>
        <w:spacing w:line="360" w:lineRule="auto"/>
        <w:ind w:left="56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5</w:t>
      </w:r>
      <w:r>
        <w:rPr>
          <w:rFonts w:hint="eastAsia" w:hAnsi="宋体"/>
          <w:color w:val="auto"/>
          <w:kern w:val="2"/>
          <w:sz w:val="21"/>
          <w:szCs w:val="21"/>
          <w:highlight w:val="none"/>
          <w:lang w:val="zh-CN"/>
        </w:rPr>
        <w:t>.2 中标人在收到中标通知书后，30天内必须与招标人签订合同，否则招标人有权取消其中标资格。中标人应派授权代表与招标人按招标文件要求和中标人投标文件承诺签定合同，合同签订内容不得超出招标文件和中标人投标文件的范围、也不得再行订立背离合同实质性内容的其他协议。</w:t>
      </w:r>
      <w:r>
        <w:rPr>
          <w:rFonts w:hint="eastAsia" w:hAnsi="宋体"/>
          <w:color w:val="auto"/>
          <w:kern w:val="2"/>
          <w:sz w:val="21"/>
          <w:szCs w:val="21"/>
          <w:highlight w:val="none"/>
        </w:rPr>
        <w:t>在合同签订时，应注意合同中约定的工期开始时间不得早于合同签订时间。</w:t>
      </w:r>
    </w:p>
    <w:p>
      <w:pPr>
        <w:tabs>
          <w:tab w:val="left" w:pos="540"/>
        </w:tabs>
        <w:spacing w:line="360" w:lineRule="auto"/>
        <w:ind w:left="567" w:right="17" w:hanging="567" w:hangingChars="27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rPr>
        <w:t>5</w:t>
      </w:r>
      <w:r>
        <w:rPr>
          <w:rFonts w:hint="eastAsia" w:hAnsi="宋体"/>
          <w:color w:val="auto"/>
          <w:kern w:val="2"/>
          <w:sz w:val="21"/>
          <w:szCs w:val="21"/>
          <w:highlight w:val="none"/>
          <w:lang w:val="zh-CN"/>
        </w:rPr>
        <w:t>.</w:t>
      </w:r>
      <w:r>
        <w:rPr>
          <w:rFonts w:hint="eastAsia" w:hAnsi="宋体"/>
          <w:color w:val="auto"/>
          <w:kern w:val="2"/>
          <w:sz w:val="21"/>
          <w:szCs w:val="21"/>
          <w:highlight w:val="none"/>
        </w:rPr>
        <w:t>3</w:t>
      </w:r>
      <w:r>
        <w:rPr>
          <w:rFonts w:hint="eastAsia" w:hAnsi="宋体"/>
          <w:color w:val="auto"/>
          <w:kern w:val="2"/>
          <w:sz w:val="21"/>
          <w:szCs w:val="21"/>
          <w:highlight w:val="none"/>
          <w:lang w:val="zh-CN"/>
        </w:rPr>
        <w:t xml:space="preserve"> 合同订立后，合同各方不得擅自变更、中止或者终止合同。合同需要变更的，招标人应将有关合同变更内容，以书面形式报相关监督管理部门和招标代理机构备案；因特殊情况需要中止或终止合同的，招标人应将中止或终止合同的理由以及相应措施，以书面形式报相关监督管理部门和招标代理机构。</w:t>
      </w:r>
    </w:p>
    <w:p>
      <w:pPr>
        <w:tabs>
          <w:tab w:val="left" w:pos="567"/>
        </w:tabs>
        <w:spacing w:line="360" w:lineRule="auto"/>
        <w:ind w:left="567" w:hanging="567"/>
        <w:jc w:val="both"/>
        <w:rPr>
          <w:rFonts w:hint="eastAsia"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rPr>
        <w:t>6</w:t>
      </w:r>
      <w:r>
        <w:rPr>
          <w:rFonts w:hAnsi="宋体"/>
          <w:color w:val="auto"/>
          <w:kern w:val="2"/>
          <w:sz w:val="21"/>
          <w:szCs w:val="21"/>
          <w:highlight w:val="none"/>
          <w:lang w:val="zh-CN"/>
        </w:rPr>
        <w:tab/>
      </w:r>
      <w:r>
        <w:rPr>
          <w:rFonts w:hint="eastAsia" w:hAnsi="宋体"/>
          <w:color w:val="auto"/>
          <w:kern w:val="2"/>
          <w:sz w:val="21"/>
          <w:szCs w:val="21"/>
          <w:highlight w:val="none"/>
          <w:lang w:val="zh-CN"/>
        </w:rPr>
        <w:t>履约</w:t>
      </w:r>
      <w:r>
        <w:rPr>
          <w:rFonts w:hint="eastAsia" w:hAnsi="宋体"/>
          <w:bCs/>
          <w:color w:val="auto"/>
          <w:sz w:val="21"/>
          <w:szCs w:val="21"/>
          <w:highlight w:val="none"/>
        </w:rPr>
        <w:t>担保</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w:t>
      </w:r>
      <w:r>
        <w:rPr>
          <w:rFonts w:hAnsi="宋体"/>
          <w:bCs/>
          <w:color w:val="auto"/>
          <w:kern w:val="2"/>
          <w:sz w:val="21"/>
          <w:szCs w:val="21"/>
          <w:highlight w:val="none"/>
        </w:rPr>
        <w:t>6</w:t>
      </w:r>
      <w:r>
        <w:rPr>
          <w:rFonts w:hint="eastAsia" w:hAnsi="宋体"/>
          <w:bCs/>
          <w:color w:val="auto"/>
          <w:kern w:val="2"/>
          <w:sz w:val="21"/>
          <w:szCs w:val="21"/>
          <w:highlight w:val="none"/>
        </w:rPr>
        <w:t>.1</w:t>
      </w:r>
      <w:r>
        <w:rPr>
          <w:rFonts w:hAnsi="宋体"/>
          <w:bCs/>
          <w:color w:val="auto"/>
          <w:kern w:val="2"/>
          <w:sz w:val="21"/>
          <w:szCs w:val="21"/>
          <w:highlight w:val="none"/>
        </w:rPr>
        <w:t xml:space="preserve"> </w:t>
      </w:r>
      <w:r>
        <w:rPr>
          <w:rFonts w:hint="eastAsia" w:hAnsi="宋体"/>
          <w:bCs/>
          <w:color w:val="auto"/>
          <w:kern w:val="2"/>
          <w:sz w:val="21"/>
          <w:szCs w:val="21"/>
          <w:highlight w:val="none"/>
        </w:rPr>
        <w:t>本项目履约担保金额为</w:t>
      </w:r>
      <w:r>
        <w:rPr>
          <w:rFonts w:hint="eastAsia" w:hAnsi="宋体"/>
          <w:color w:val="auto"/>
          <w:sz w:val="21"/>
          <w:szCs w:val="21"/>
          <w:highlight w:val="none"/>
        </w:rPr>
        <w:t>合同咨询酬金暂定价款的10%</w:t>
      </w:r>
      <w:r>
        <w:rPr>
          <w:rFonts w:hint="eastAsia" w:hAnsi="宋体"/>
          <w:bCs/>
          <w:color w:val="auto"/>
          <w:kern w:val="2"/>
          <w:sz w:val="21"/>
          <w:szCs w:val="21"/>
          <w:highlight w:val="none"/>
        </w:rPr>
        <w:t>。</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w:t>
      </w:r>
      <w:r>
        <w:rPr>
          <w:rFonts w:hAnsi="宋体"/>
          <w:bCs/>
          <w:color w:val="auto"/>
          <w:kern w:val="2"/>
          <w:sz w:val="21"/>
          <w:szCs w:val="21"/>
          <w:highlight w:val="none"/>
        </w:rPr>
        <w:t>6</w:t>
      </w:r>
      <w:r>
        <w:rPr>
          <w:rFonts w:hint="eastAsia" w:hAnsi="宋体"/>
          <w:bCs/>
          <w:color w:val="auto"/>
          <w:kern w:val="2"/>
          <w:sz w:val="21"/>
          <w:szCs w:val="21"/>
          <w:highlight w:val="none"/>
        </w:rPr>
        <w:t>.2</w:t>
      </w:r>
      <w:r>
        <w:rPr>
          <w:rFonts w:hAnsi="宋体"/>
          <w:bCs/>
          <w:color w:val="auto"/>
          <w:kern w:val="2"/>
          <w:sz w:val="21"/>
          <w:szCs w:val="21"/>
          <w:highlight w:val="none"/>
        </w:rPr>
        <w:t xml:space="preserve"> </w:t>
      </w:r>
      <w:r>
        <w:rPr>
          <w:rFonts w:hint="eastAsia" w:hAnsi="宋体"/>
          <w:bCs/>
          <w:color w:val="auto"/>
          <w:kern w:val="2"/>
          <w:sz w:val="21"/>
          <w:szCs w:val="21"/>
          <w:highlight w:val="none"/>
        </w:rPr>
        <w:t>签订合同前，中标人应提交履约担保。</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w:t>
      </w:r>
      <w:r>
        <w:rPr>
          <w:rFonts w:hAnsi="宋体"/>
          <w:bCs/>
          <w:color w:val="auto"/>
          <w:kern w:val="2"/>
          <w:sz w:val="21"/>
          <w:szCs w:val="21"/>
          <w:highlight w:val="none"/>
        </w:rPr>
        <w:t>6</w:t>
      </w:r>
      <w:r>
        <w:rPr>
          <w:rFonts w:hint="eastAsia" w:hAnsi="宋体"/>
          <w:bCs/>
          <w:color w:val="auto"/>
          <w:kern w:val="2"/>
          <w:sz w:val="21"/>
          <w:szCs w:val="21"/>
          <w:highlight w:val="none"/>
        </w:rPr>
        <w:t>.3</w:t>
      </w:r>
      <w:r>
        <w:rPr>
          <w:rFonts w:hAnsi="宋体"/>
          <w:bCs/>
          <w:color w:val="auto"/>
          <w:kern w:val="2"/>
          <w:sz w:val="21"/>
          <w:szCs w:val="21"/>
          <w:highlight w:val="none"/>
        </w:rPr>
        <w:t xml:space="preserve"> </w:t>
      </w:r>
      <w:r>
        <w:rPr>
          <w:rFonts w:hint="eastAsia" w:hAnsi="宋体"/>
          <w:bCs/>
          <w:color w:val="auto"/>
          <w:kern w:val="2"/>
          <w:sz w:val="21"/>
          <w:szCs w:val="21"/>
          <w:highlight w:val="none"/>
        </w:rPr>
        <w:t>中标人向招标人提交履约担保，履约担保形式：</w:t>
      </w:r>
      <w:r>
        <w:rPr>
          <w:rFonts w:ascii="Segoe UI Symbol" w:hAnsi="Segoe UI Symbol" w:cs="Segoe UI Symbol"/>
          <w:bCs/>
          <w:color w:val="auto"/>
          <w:kern w:val="2"/>
          <w:sz w:val="21"/>
          <w:szCs w:val="21"/>
          <w:highlight w:val="none"/>
        </w:rPr>
        <w:t>☑</w:t>
      </w:r>
      <w:r>
        <w:rPr>
          <w:rFonts w:hint="eastAsia" w:hAnsi="宋体" w:cs="宋体"/>
          <w:bCs/>
          <w:color w:val="auto"/>
          <w:kern w:val="2"/>
          <w:sz w:val="21"/>
          <w:szCs w:val="21"/>
          <w:highlight w:val="none"/>
        </w:rPr>
        <w:t>履约保证金；</w:t>
      </w:r>
      <w:r>
        <w:rPr>
          <w:rFonts w:ascii="Segoe UI Symbol" w:hAnsi="Segoe UI Symbol" w:cs="Segoe UI Symbol"/>
          <w:bCs/>
          <w:color w:val="auto"/>
          <w:kern w:val="2"/>
          <w:sz w:val="21"/>
          <w:szCs w:val="21"/>
          <w:highlight w:val="none"/>
        </w:rPr>
        <w:t>☑</w:t>
      </w:r>
      <w:r>
        <w:rPr>
          <w:rFonts w:hint="eastAsia" w:hAnsi="宋体"/>
          <w:bCs/>
          <w:color w:val="auto"/>
          <w:kern w:val="2"/>
          <w:sz w:val="21"/>
          <w:szCs w:val="21"/>
          <w:highlight w:val="none"/>
        </w:rPr>
        <w:t xml:space="preserve"> 银行履约保函；□担保公司履约担保书。履约担保金额：</w:t>
      </w:r>
      <w:r>
        <w:rPr>
          <w:rFonts w:hint="eastAsia" w:hAnsi="宋体"/>
          <w:color w:val="auto"/>
          <w:sz w:val="21"/>
          <w:szCs w:val="21"/>
          <w:highlight w:val="none"/>
        </w:rPr>
        <w:t>合同咨询酬金暂定价款的10%</w:t>
      </w:r>
      <w:r>
        <w:rPr>
          <w:rFonts w:hint="eastAsia" w:hAnsi="宋体"/>
          <w:bCs/>
          <w:color w:val="auto"/>
          <w:kern w:val="2"/>
          <w:sz w:val="21"/>
          <w:szCs w:val="21"/>
          <w:highlight w:val="none"/>
        </w:rPr>
        <w:t>。履约担保账户：招标人指定账户。</w:t>
      </w:r>
    </w:p>
    <w:p>
      <w:pPr>
        <w:spacing w:line="360" w:lineRule="auto"/>
        <w:ind w:left="636" w:hanging="636" w:hangingChars="303"/>
        <w:rPr>
          <w:rFonts w:hAnsi="宋体"/>
          <w:bCs/>
          <w:color w:val="auto"/>
          <w:kern w:val="2"/>
          <w:sz w:val="21"/>
          <w:szCs w:val="21"/>
          <w:highlight w:val="none"/>
        </w:rPr>
      </w:pPr>
      <w:r>
        <w:rPr>
          <w:rFonts w:hint="eastAsia" w:hAnsi="宋体"/>
          <w:bCs/>
          <w:color w:val="auto"/>
          <w:kern w:val="2"/>
          <w:sz w:val="21"/>
          <w:szCs w:val="21"/>
          <w:highlight w:val="none"/>
        </w:rPr>
        <w:t>3</w:t>
      </w:r>
      <w:r>
        <w:rPr>
          <w:rFonts w:hAnsi="宋体"/>
          <w:bCs/>
          <w:color w:val="auto"/>
          <w:kern w:val="2"/>
          <w:sz w:val="21"/>
          <w:szCs w:val="21"/>
          <w:highlight w:val="none"/>
        </w:rPr>
        <w:t>6</w:t>
      </w:r>
      <w:r>
        <w:rPr>
          <w:rFonts w:hint="eastAsia" w:hAnsi="宋体"/>
          <w:bCs/>
          <w:color w:val="auto"/>
          <w:kern w:val="2"/>
          <w:sz w:val="21"/>
          <w:szCs w:val="21"/>
          <w:highlight w:val="none"/>
        </w:rPr>
        <w:t>.4</w:t>
      </w:r>
      <w:r>
        <w:rPr>
          <w:rFonts w:hAnsi="宋体"/>
          <w:bCs/>
          <w:color w:val="auto"/>
          <w:kern w:val="2"/>
          <w:sz w:val="21"/>
          <w:szCs w:val="21"/>
          <w:highlight w:val="none"/>
        </w:rPr>
        <w:t xml:space="preserve"> </w:t>
      </w:r>
      <w:r>
        <w:rPr>
          <w:rFonts w:hint="eastAsia" w:hAnsi="宋体"/>
          <w:bCs/>
          <w:color w:val="auto"/>
          <w:kern w:val="2"/>
          <w:sz w:val="21"/>
          <w:szCs w:val="21"/>
          <w:highlight w:val="none"/>
        </w:rPr>
        <w:t>履约保函应是由银行支行一级或以上银行机构出具，并经甲方同意，非东莞市行政区内的银行出具的保函需经担保银行所在地公证机关公证并出具公证书或其他证明资料。履约保函应为见索即付保函，履约保函的内容，应符合招标文件、投标响应文件和招标合同的要求。</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 xml:space="preserve">5 </w:t>
      </w:r>
      <w:r>
        <w:rPr>
          <w:rFonts w:hint="eastAsia" w:hAnsi="宋体"/>
          <w:bCs/>
          <w:color w:val="auto"/>
          <w:kern w:val="2"/>
          <w:sz w:val="21"/>
          <w:szCs w:val="21"/>
          <w:highlight w:val="none"/>
        </w:rPr>
        <w:t>如果中标人提交的履约保函的有效期先于合同要求的履约保函有效期到达，中标人应在原提交的履约保函有效期满前15天，无条件办理保函延期手续。否则，视中标人违约，招标人可在保函到期前将保函金额转为现金存入履约保证金帐户。</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6</w:t>
      </w:r>
      <w:r>
        <w:rPr>
          <w:rFonts w:hint="eastAsia" w:hAnsi="宋体"/>
          <w:bCs/>
          <w:color w:val="auto"/>
          <w:kern w:val="2"/>
          <w:sz w:val="21"/>
          <w:szCs w:val="21"/>
          <w:highlight w:val="none"/>
        </w:rPr>
        <w:t xml:space="preserve"> 履约担保期限从合同签订之日起至项目</w:t>
      </w:r>
      <w:r>
        <w:rPr>
          <w:rFonts w:hint="eastAsia" w:hAnsi="宋体"/>
          <w:bCs/>
          <w:color w:val="auto"/>
          <w:kern w:val="2"/>
          <w:sz w:val="21"/>
          <w:szCs w:val="21"/>
          <w:highlight w:val="none"/>
          <w:lang w:val="en-US" w:eastAsia="zh-CN"/>
        </w:rPr>
        <w:t>服务完工</w:t>
      </w:r>
      <w:r>
        <w:rPr>
          <w:rFonts w:hint="eastAsia" w:hAnsi="宋体"/>
          <w:bCs/>
          <w:color w:val="auto"/>
          <w:kern w:val="2"/>
          <w:sz w:val="21"/>
          <w:szCs w:val="21"/>
          <w:highlight w:val="none"/>
        </w:rPr>
        <w:t>验收合格并结算完毕后，经双方签字7天内保持有效。</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7</w:t>
      </w:r>
      <w:r>
        <w:rPr>
          <w:rFonts w:hint="eastAsia" w:hAnsi="宋体"/>
          <w:bCs/>
          <w:color w:val="auto"/>
          <w:kern w:val="2"/>
          <w:sz w:val="21"/>
          <w:szCs w:val="21"/>
          <w:highlight w:val="none"/>
        </w:rPr>
        <w:t xml:space="preserve"> 若中标人不能按本招标文件（36.1至36.</w:t>
      </w:r>
      <w:r>
        <w:rPr>
          <w:rFonts w:hAnsi="宋体"/>
          <w:bCs/>
          <w:color w:val="auto"/>
          <w:kern w:val="2"/>
          <w:sz w:val="21"/>
          <w:szCs w:val="21"/>
          <w:highlight w:val="none"/>
        </w:rPr>
        <w:t>4</w:t>
      </w:r>
      <w:r>
        <w:rPr>
          <w:rFonts w:hint="eastAsia" w:hAnsi="宋体"/>
          <w:bCs/>
          <w:color w:val="auto"/>
          <w:kern w:val="2"/>
          <w:sz w:val="21"/>
          <w:szCs w:val="21"/>
          <w:highlight w:val="none"/>
        </w:rPr>
        <w:t>）的规定提交履约担保的，招标人将有权取消中标人的中标资格（招标人可以按照评标委员会提出的中标候选人名单排序依次确定其他中标候选人为中标人，也可以重新招标），投标保证金不予退还，给招标人造成的损失如果超过投标保证金数额的，还应当对超过部分予以赔偿。</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8</w:t>
      </w:r>
      <w:r>
        <w:rPr>
          <w:rFonts w:hint="eastAsia" w:hAnsi="宋体"/>
          <w:bCs/>
          <w:color w:val="auto"/>
          <w:kern w:val="2"/>
          <w:sz w:val="21"/>
          <w:szCs w:val="21"/>
          <w:highlight w:val="none"/>
        </w:rPr>
        <w:t xml:space="preserve"> 为取得履约担保所需的费用，由中标人承担；若工期延误，履约担保时间延长，延长费用由中标人承担。</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9</w:t>
      </w:r>
      <w:r>
        <w:rPr>
          <w:rFonts w:hint="eastAsia" w:hAnsi="宋体"/>
          <w:bCs/>
          <w:color w:val="auto"/>
          <w:kern w:val="2"/>
          <w:sz w:val="21"/>
          <w:szCs w:val="21"/>
          <w:highlight w:val="none"/>
        </w:rPr>
        <w:t xml:space="preserve"> 若中标人在合同履行过程中出现项目质量事故、工期拖延、欠付工人工资、欠付材料款等情况，招标人在经核查属实后，有权将履约保函金额转为现金存入履约保证金账户；中标人造成招标人损失的，招标人有权立即没收其履约担保，若造成损失超过履约担保的，还应当对超过部分予以赔偿。</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10</w:t>
      </w:r>
      <w:r>
        <w:rPr>
          <w:rFonts w:hint="eastAsia" w:hAnsi="宋体"/>
          <w:bCs/>
          <w:color w:val="auto"/>
          <w:kern w:val="2"/>
          <w:sz w:val="21"/>
          <w:szCs w:val="21"/>
          <w:highlight w:val="none"/>
        </w:rPr>
        <w:t xml:space="preserve"> 下列任何情况发生时，招标人有权行使享有的担保权利：</w:t>
      </w:r>
    </w:p>
    <w:p>
      <w:pPr>
        <w:spacing w:line="360" w:lineRule="auto"/>
        <w:ind w:left="480" w:leftChars="200"/>
        <w:rPr>
          <w:rFonts w:hint="eastAsia" w:hAnsi="宋体"/>
          <w:bCs/>
          <w:color w:val="auto"/>
          <w:kern w:val="2"/>
          <w:sz w:val="21"/>
          <w:szCs w:val="21"/>
          <w:highlight w:val="none"/>
        </w:rPr>
      </w:pPr>
      <w:r>
        <w:rPr>
          <w:rFonts w:hint="eastAsia" w:hAnsi="宋体"/>
          <w:bCs/>
          <w:color w:val="auto"/>
          <w:kern w:val="2"/>
          <w:sz w:val="21"/>
          <w:szCs w:val="21"/>
          <w:highlight w:val="none"/>
        </w:rPr>
        <w:t>（1）中标人将本项目转让给他人，或者在报价文件中未说明，且未经招标人同意，将中标项目分包给他人的；</w:t>
      </w:r>
    </w:p>
    <w:p>
      <w:pPr>
        <w:spacing w:line="360" w:lineRule="auto"/>
        <w:ind w:left="480" w:leftChars="200"/>
        <w:rPr>
          <w:rFonts w:hint="eastAsia" w:hAnsi="宋体"/>
          <w:bCs/>
          <w:color w:val="auto"/>
          <w:kern w:val="2"/>
          <w:sz w:val="21"/>
          <w:szCs w:val="21"/>
          <w:highlight w:val="none"/>
        </w:rPr>
      </w:pPr>
      <w:r>
        <w:rPr>
          <w:rFonts w:hint="eastAsia" w:hAnsi="宋体"/>
          <w:bCs/>
          <w:color w:val="auto"/>
          <w:kern w:val="2"/>
          <w:sz w:val="21"/>
          <w:szCs w:val="21"/>
          <w:highlight w:val="none"/>
        </w:rPr>
        <w:t>（2）中标人在履行合同期间，违反有关法律法规的规定及合同约定的条款，损害了招标人的利益。</w:t>
      </w:r>
    </w:p>
    <w:p>
      <w:pPr>
        <w:spacing w:line="360" w:lineRule="auto"/>
        <w:ind w:left="636" w:hanging="636" w:hangingChars="303"/>
        <w:rPr>
          <w:rFonts w:hint="eastAsia" w:hAnsi="宋体"/>
          <w:bCs/>
          <w:color w:val="auto"/>
          <w:kern w:val="2"/>
          <w:sz w:val="21"/>
          <w:szCs w:val="21"/>
          <w:highlight w:val="none"/>
        </w:rPr>
      </w:pPr>
      <w:r>
        <w:rPr>
          <w:rFonts w:hint="eastAsia" w:hAnsi="宋体"/>
          <w:bCs/>
          <w:color w:val="auto"/>
          <w:kern w:val="2"/>
          <w:sz w:val="21"/>
          <w:szCs w:val="21"/>
          <w:highlight w:val="none"/>
        </w:rPr>
        <w:t>36.</w:t>
      </w:r>
      <w:r>
        <w:rPr>
          <w:rFonts w:hAnsi="宋体"/>
          <w:bCs/>
          <w:color w:val="auto"/>
          <w:kern w:val="2"/>
          <w:sz w:val="21"/>
          <w:szCs w:val="21"/>
          <w:highlight w:val="none"/>
        </w:rPr>
        <w:t>11</w:t>
      </w:r>
      <w:r>
        <w:rPr>
          <w:rFonts w:hint="eastAsia" w:hAnsi="宋体"/>
          <w:bCs/>
          <w:color w:val="auto"/>
          <w:kern w:val="2"/>
          <w:sz w:val="21"/>
          <w:szCs w:val="21"/>
          <w:highlight w:val="none"/>
        </w:rPr>
        <w:t xml:space="preserve"> 在整个项目验收合格后，中标人向招标人提交退回履约担保的申请，招标人办理履约担保退还手续。</w:t>
      </w:r>
    </w:p>
    <w:p>
      <w:pPr>
        <w:tabs>
          <w:tab w:val="left" w:pos="567"/>
        </w:tabs>
        <w:spacing w:line="360" w:lineRule="auto"/>
        <w:ind w:left="567" w:hanging="567"/>
        <w:jc w:val="both"/>
        <w:rPr>
          <w:rFonts w:hAnsi="宋体"/>
          <w:color w:val="auto"/>
          <w:kern w:val="2"/>
          <w:sz w:val="21"/>
          <w:szCs w:val="21"/>
          <w:highlight w:val="none"/>
          <w:lang w:val="zh-CN"/>
        </w:rPr>
      </w:pPr>
      <w:r>
        <w:rPr>
          <w:rFonts w:hAnsi="宋体"/>
          <w:color w:val="auto"/>
          <w:kern w:val="2"/>
          <w:sz w:val="21"/>
          <w:szCs w:val="21"/>
          <w:highlight w:val="none"/>
          <w:lang w:val="zh-CN"/>
        </w:rPr>
        <w:t>3</w:t>
      </w:r>
      <w:r>
        <w:rPr>
          <w:rFonts w:hint="eastAsia" w:hAnsi="宋体"/>
          <w:color w:val="auto"/>
          <w:kern w:val="2"/>
          <w:sz w:val="21"/>
          <w:szCs w:val="21"/>
          <w:highlight w:val="none"/>
          <w:lang w:val="en-US" w:eastAsia="zh-CN"/>
        </w:rPr>
        <w:t>7</w:t>
      </w:r>
      <w:r>
        <w:rPr>
          <w:rFonts w:hAnsi="宋体"/>
          <w:color w:val="auto"/>
          <w:kern w:val="2"/>
          <w:sz w:val="21"/>
          <w:szCs w:val="21"/>
          <w:highlight w:val="none"/>
          <w:lang w:val="zh-CN"/>
        </w:rPr>
        <w:tab/>
      </w:r>
      <w:r>
        <w:rPr>
          <w:rFonts w:hint="eastAsia" w:hAnsi="宋体"/>
          <w:color w:val="auto"/>
          <w:kern w:val="2"/>
          <w:sz w:val="21"/>
          <w:szCs w:val="21"/>
          <w:highlight w:val="none"/>
          <w:lang w:val="zh-CN"/>
        </w:rPr>
        <w:t>招标代理服务费</w:t>
      </w:r>
    </w:p>
    <w:p>
      <w:pPr>
        <w:tabs>
          <w:tab w:val="left" w:pos="540"/>
        </w:tabs>
        <w:spacing w:line="360" w:lineRule="auto"/>
        <w:ind w:left="540" w:right="18" w:hanging="540"/>
        <w:jc w:val="both"/>
        <w:rPr>
          <w:rFonts w:hint="eastAsia" w:hAnsi="宋体"/>
          <w:bCs/>
          <w:color w:val="auto"/>
          <w:kern w:val="2"/>
          <w:sz w:val="21"/>
          <w:szCs w:val="21"/>
          <w:highlight w:val="none"/>
          <w:lang w:val="zh-CN"/>
        </w:rPr>
      </w:pPr>
      <w:r>
        <w:rPr>
          <w:rFonts w:hint="eastAsia" w:hAnsi="宋体"/>
          <w:bCs/>
          <w:color w:val="auto"/>
          <w:kern w:val="2"/>
          <w:sz w:val="21"/>
          <w:szCs w:val="21"/>
          <w:highlight w:val="none"/>
        </w:rPr>
        <w:t>3</w:t>
      </w:r>
      <w:r>
        <w:rPr>
          <w:rFonts w:hint="eastAsia" w:hAnsi="宋体"/>
          <w:bCs/>
          <w:color w:val="auto"/>
          <w:kern w:val="2"/>
          <w:sz w:val="21"/>
          <w:szCs w:val="21"/>
          <w:highlight w:val="none"/>
          <w:lang w:val="en-US" w:eastAsia="zh-CN"/>
        </w:rPr>
        <w:t>7</w:t>
      </w:r>
      <w:r>
        <w:rPr>
          <w:rFonts w:hAnsi="宋体"/>
          <w:bCs/>
          <w:color w:val="auto"/>
          <w:kern w:val="2"/>
          <w:sz w:val="21"/>
          <w:szCs w:val="21"/>
          <w:highlight w:val="none"/>
          <w:lang w:val="zh-CN"/>
        </w:rPr>
        <w:t>.1</w:t>
      </w:r>
      <w:r>
        <w:rPr>
          <w:rFonts w:hAnsi="宋体"/>
          <w:bCs/>
          <w:color w:val="auto"/>
          <w:kern w:val="2"/>
          <w:sz w:val="21"/>
          <w:szCs w:val="21"/>
          <w:highlight w:val="none"/>
          <w:lang w:val="zh-CN"/>
        </w:rPr>
        <w:tab/>
      </w:r>
      <w:r>
        <w:rPr>
          <w:rFonts w:hint="eastAsia" w:hAnsi="宋体"/>
          <w:bCs/>
          <w:color w:val="auto"/>
          <w:kern w:val="2"/>
          <w:sz w:val="21"/>
          <w:szCs w:val="21"/>
          <w:highlight w:val="none"/>
          <w:lang w:val="zh-CN"/>
        </w:rPr>
        <w:t>本项目服务费由招标人支付。</w:t>
      </w:r>
    </w:p>
    <w:p>
      <w:pPr>
        <w:spacing w:line="360" w:lineRule="auto"/>
        <w:ind w:left="539" w:right="17" w:hanging="53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lang w:val="en-US" w:eastAsia="zh-CN"/>
        </w:rPr>
        <w:t>8</w:t>
      </w:r>
      <w:r>
        <w:rPr>
          <w:rFonts w:hint="eastAsia" w:hAnsi="宋体"/>
          <w:color w:val="auto"/>
          <w:kern w:val="2"/>
          <w:sz w:val="21"/>
          <w:szCs w:val="21"/>
          <w:highlight w:val="none"/>
        </w:rPr>
        <w:t xml:space="preserve"> </w:t>
      </w:r>
      <w:r>
        <w:rPr>
          <w:rFonts w:hint="eastAsia" w:hAnsi="宋体"/>
          <w:color w:val="auto"/>
          <w:sz w:val="21"/>
          <w:szCs w:val="21"/>
          <w:highlight w:val="none"/>
        </w:rPr>
        <w:t xml:space="preserve"> </w:t>
      </w:r>
      <w:r>
        <w:rPr>
          <w:rFonts w:hint="eastAsia" w:hAnsi="宋体"/>
          <w:color w:val="auto"/>
          <w:kern w:val="2"/>
          <w:sz w:val="21"/>
          <w:szCs w:val="21"/>
          <w:highlight w:val="none"/>
          <w:lang w:val="zh-CN"/>
        </w:rPr>
        <w:t>招标人在授予合同时变更货物和服务数量的权利</w:t>
      </w:r>
    </w:p>
    <w:p>
      <w:pPr>
        <w:spacing w:line="360" w:lineRule="auto"/>
        <w:ind w:left="539" w:right="17" w:hanging="539"/>
        <w:jc w:val="both"/>
        <w:rPr>
          <w:rFonts w:hint="eastAsia" w:hAnsi="宋体"/>
          <w:color w:val="auto"/>
          <w:kern w:val="2"/>
          <w:sz w:val="21"/>
          <w:szCs w:val="21"/>
          <w:highlight w:val="none"/>
          <w:lang w:val="zh-CN"/>
        </w:rPr>
      </w:pPr>
      <w:bookmarkStart w:id="23" w:name="_Hlk35578186"/>
      <w:bookmarkStart w:id="24" w:name="_Hlk35578184"/>
      <w:bookmarkStart w:id="25" w:name="_Hlk35578185"/>
      <w:r>
        <w:rPr>
          <w:rFonts w:hint="eastAsia" w:hAnsi="宋体"/>
          <w:color w:val="auto"/>
          <w:kern w:val="2"/>
          <w:sz w:val="21"/>
          <w:szCs w:val="21"/>
          <w:highlight w:val="none"/>
          <w:lang w:val="zh-CN"/>
        </w:rPr>
        <w:t>3</w:t>
      </w:r>
      <w:r>
        <w:rPr>
          <w:rFonts w:hint="eastAsia" w:hAnsi="宋体"/>
          <w:color w:val="auto"/>
          <w:kern w:val="2"/>
          <w:sz w:val="21"/>
          <w:szCs w:val="21"/>
          <w:highlight w:val="none"/>
          <w:lang w:val="en-US" w:eastAsia="zh-CN"/>
        </w:rPr>
        <w:t>8</w:t>
      </w:r>
      <w:r>
        <w:rPr>
          <w:rFonts w:hint="eastAsia" w:hAnsi="宋体"/>
          <w:color w:val="auto"/>
          <w:kern w:val="2"/>
          <w:sz w:val="21"/>
          <w:szCs w:val="21"/>
          <w:highlight w:val="none"/>
          <w:lang w:val="zh-CN"/>
        </w:rPr>
        <w:t>.1</w:t>
      </w:r>
      <w:bookmarkEnd w:id="23"/>
      <w:bookmarkEnd w:id="24"/>
      <w:bookmarkEnd w:id="25"/>
      <w:r>
        <w:rPr>
          <w:rFonts w:hint="eastAsia" w:hAnsi="宋体"/>
          <w:color w:val="auto"/>
          <w:kern w:val="2"/>
          <w:sz w:val="21"/>
          <w:szCs w:val="21"/>
          <w:highlight w:val="none"/>
          <w:lang w:val="zh-CN"/>
        </w:rPr>
        <w:t>合同履行中，招标人需追加与合同标的相同的货物、工程或者服务的，在不改变合同其他条款的前提下，可以与投标人签订补充合同，但所补充合同的金额不得超过</w:t>
      </w:r>
      <w:r>
        <w:rPr>
          <w:rFonts w:hint="eastAsia" w:hAnsi="宋体"/>
          <w:bCs/>
          <w:color w:val="auto"/>
          <w:sz w:val="21"/>
          <w:szCs w:val="21"/>
          <w:highlight w:val="none"/>
        </w:rPr>
        <w:t>原合同金额的百分之十</w:t>
      </w:r>
      <w:r>
        <w:rPr>
          <w:rFonts w:hint="eastAsia" w:hAnsi="宋体"/>
          <w:color w:val="auto"/>
          <w:kern w:val="2"/>
          <w:sz w:val="21"/>
          <w:szCs w:val="21"/>
          <w:highlight w:val="none"/>
          <w:lang w:val="zh-CN"/>
        </w:rPr>
        <w:t>。当追加金额超过原合同的金额的百分之十，由招标人重新组织招标活动。</w:t>
      </w:r>
    </w:p>
    <w:p>
      <w:pPr>
        <w:spacing w:line="360" w:lineRule="auto"/>
        <w:ind w:left="539" w:right="17" w:hanging="53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lang w:val="zh-CN"/>
        </w:rPr>
        <w:t>.  发票</w:t>
      </w:r>
    </w:p>
    <w:p>
      <w:pPr>
        <w:spacing w:line="360" w:lineRule="auto"/>
        <w:ind w:left="539" w:right="17" w:hanging="53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lang w:val="zh-CN"/>
        </w:rPr>
        <w:t>.1 该项目获得中标的中标人在执行合同过程中，向招标人出具的发票必须是由中标人开具，不得以其他单位或个人名义出具。</w:t>
      </w:r>
    </w:p>
    <w:p>
      <w:pPr>
        <w:spacing w:line="360" w:lineRule="auto"/>
        <w:ind w:left="539" w:right="17" w:hanging="53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lang w:val="zh-CN"/>
        </w:rPr>
        <w:t>.</w:t>
      </w:r>
      <w:r>
        <w:rPr>
          <w:rFonts w:hint="eastAsia" w:hAnsi="宋体"/>
          <w:color w:val="auto"/>
          <w:kern w:val="2"/>
          <w:sz w:val="21"/>
          <w:szCs w:val="21"/>
          <w:highlight w:val="none"/>
        </w:rPr>
        <w:t>2</w:t>
      </w:r>
      <w:r>
        <w:rPr>
          <w:rFonts w:hint="eastAsia" w:hAnsi="宋体"/>
          <w:color w:val="auto"/>
          <w:kern w:val="2"/>
          <w:sz w:val="21"/>
          <w:szCs w:val="21"/>
          <w:highlight w:val="none"/>
          <w:lang w:val="zh-CN"/>
        </w:rPr>
        <w:t xml:space="preserve"> 在合同履行期间，如遇国家的税率调整，则以开具发票的时间为准，以原合同约定价格不含税金额不变作为基准，按照新税率重新计算含税价格。</w:t>
      </w:r>
    </w:p>
    <w:p>
      <w:pPr>
        <w:pStyle w:val="4"/>
        <w:tabs>
          <w:tab w:val="center" w:pos="4819"/>
        </w:tabs>
        <w:spacing w:line="360" w:lineRule="auto"/>
        <w:rPr>
          <w:rFonts w:hint="eastAsia" w:hAnsi="宋体"/>
          <w:b/>
          <w:bCs/>
          <w:color w:val="auto"/>
          <w:kern w:val="44"/>
          <w:sz w:val="21"/>
          <w:szCs w:val="21"/>
          <w:highlight w:val="none"/>
          <w:lang w:val="zh-CN"/>
        </w:rPr>
      </w:pPr>
      <w:bookmarkStart w:id="26" w:name="_Toc396137239"/>
      <w:bookmarkStart w:id="27" w:name="_Toc29545"/>
      <w:bookmarkStart w:id="28" w:name="_Toc25403"/>
      <w:r>
        <w:rPr>
          <w:rFonts w:hint="eastAsia" w:hAnsi="宋体"/>
          <w:b/>
          <w:bCs/>
          <w:color w:val="auto"/>
          <w:kern w:val="44"/>
          <w:sz w:val="21"/>
          <w:szCs w:val="21"/>
          <w:highlight w:val="none"/>
          <w:lang w:val="zh-CN"/>
        </w:rPr>
        <w:t>（七）质疑与回复</w:t>
      </w:r>
      <w:bookmarkEnd w:id="26"/>
      <w:bookmarkEnd w:id="27"/>
      <w:bookmarkEnd w:id="28"/>
    </w:p>
    <w:p>
      <w:pPr>
        <w:spacing w:line="360" w:lineRule="auto"/>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 xml:space="preserve">   质疑与回复</w:t>
      </w:r>
    </w:p>
    <w:p>
      <w:pPr>
        <w:spacing w:line="360" w:lineRule="auto"/>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.1 质疑书应当包括下列主要内容：</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rPr>
        <w:t>　　（6）提出质疑的日期。</w:t>
      </w:r>
    </w:p>
    <w:p>
      <w:pPr>
        <w:spacing w:line="360" w:lineRule="auto"/>
        <w:ind w:left="539" w:right="17" w:hanging="539"/>
        <w:jc w:val="both"/>
        <w:rPr>
          <w:rFonts w:hint="eastAsia" w:hAnsi="宋体"/>
          <w:color w:val="auto"/>
          <w:sz w:val="21"/>
          <w:szCs w:val="21"/>
          <w:highlight w:val="none"/>
        </w:rPr>
      </w:pPr>
      <w:r>
        <w:rPr>
          <w:rFonts w:hint="eastAsia" w:hAnsi="宋体"/>
          <w:color w:val="auto"/>
          <w:kern w:val="2"/>
          <w:sz w:val="21"/>
          <w:szCs w:val="21"/>
          <w:highlight w:val="none"/>
          <w:lang w:val="en-US" w:eastAsia="zh-CN"/>
        </w:rPr>
        <w:t>40</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.3. 投标人认为招标文件的内容损害其权益的，应当以书面形式（加盖公章）在招标文件公示期间或者自期满之日起7个工作日内向招标代理机构提交质疑书原件，逾期质疑无效。投标人以电话、传真或电邮形式提交的质疑属于无效质疑。</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.4. 投标人认为招标过程和中标结果使自己的权益受到损害的，应当以书面形式（加盖公章）在知道或者应知其权益受到损害之日起7个工作日内向招标代理机构提交质疑书原件，逾期质疑无效。投标人以电话、传真或电邮形式提交的质疑属于无效质疑。</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.5.投标人在法定质疑期内一次性提出针对同一招标程序环节的质疑。</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6.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名并加盖公章。招标代理机构受理书面质疑书原件之日起，在规定的期限内作出答复。投标人捏造事实、提供虚假材料或者以非法手段取得证明材料进行投诉的，列入不良行为记录名单，禁止其1至3年内参加招标活动。</w:t>
      </w:r>
    </w:p>
    <w:p>
      <w:pPr>
        <w:spacing w:line="360" w:lineRule="auto"/>
        <w:ind w:left="539" w:right="17" w:hanging="539"/>
        <w:jc w:val="both"/>
        <w:rPr>
          <w:rFonts w:hint="eastAsia" w:hAnsi="宋体"/>
          <w:color w:val="auto"/>
          <w:sz w:val="21"/>
          <w:szCs w:val="21"/>
          <w:highlight w:val="none"/>
        </w:rPr>
      </w:pPr>
      <w:r>
        <w:rPr>
          <w:rFonts w:hint="eastAsia" w:hAnsi="宋体"/>
          <w:color w:val="auto"/>
          <w:sz w:val="21"/>
          <w:szCs w:val="21"/>
          <w:highlight w:val="none"/>
          <w:lang w:val="en-US" w:eastAsia="zh-CN"/>
        </w:rPr>
        <w:t>40</w:t>
      </w:r>
      <w:r>
        <w:rPr>
          <w:rFonts w:hint="eastAsia" w:hAnsi="宋体"/>
          <w:color w:val="auto"/>
          <w:sz w:val="21"/>
          <w:szCs w:val="21"/>
          <w:highlight w:val="none"/>
        </w:rPr>
        <w:t>.7.</w:t>
      </w:r>
      <w:r>
        <w:rPr>
          <w:rFonts w:hint="eastAsia" w:hAnsi="宋体"/>
          <w:color w:val="auto"/>
          <w:sz w:val="21"/>
          <w:szCs w:val="21"/>
          <w:highlight w:val="none"/>
        </w:rPr>
        <w:tab/>
      </w:r>
      <w:r>
        <w:rPr>
          <w:rFonts w:hint="eastAsia" w:hAnsi="宋体"/>
          <w:color w:val="auto"/>
          <w:sz w:val="21"/>
          <w:szCs w:val="21"/>
          <w:highlight w:val="none"/>
        </w:rPr>
        <w:t>招标代理机构在收到投标人的有效书面质疑后7个工作日内作出答复，但答复的内容不涉及商业秘密，质疑投标人对招标人、招标代理机构的质疑答复不满意，或招标人、招标代理机构未在规定期限内作出答复的，可以在答复期满后15个工作日内向相关监督管理部门提出投诉。投诉事项应该是经过质疑的事项。</w:t>
      </w:r>
    </w:p>
    <w:p>
      <w:pPr>
        <w:pStyle w:val="3"/>
        <w:keepNext/>
        <w:keepLines/>
        <w:pageBreakBefore/>
        <w:numPr>
          <w:ilvl w:val="0"/>
          <w:numId w:val="8"/>
        </w:numPr>
        <w:tabs>
          <w:tab w:val="left" w:pos="1080"/>
        </w:tabs>
        <w:spacing w:line="360" w:lineRule="auto"/>
        <w:ind w:left="1262" w:hanging="1262" w:hangingChars="449"/>
        <w:jc w:val="center"/>
        <w:rPr>
          <w:rFonts w:hint="eastAsia" w:hAnsi="宋体"/>
          <w:b/>
          <w:bCs/>
          <w:color w:val="auto"/>
          <w:kern w:val="44"/>
          <w:sz w:val="28"/>
          <w:szCs w:val="28"/>
          <w:highlight w:val="none"/>
          <w:lang w:val="zh-CN"/>
        </w:rPr>
      </w:pPr>
      <w:r>
        <w:rPr>
          <w:rFonts w:hint="eastAsia" w:hAnsi="宋体"/>
          <w:b/>
          <w:bCs/>
          <w:color w:val="auto"/>
          <w:kern w:val="44"/>
          <w:sz w:val="28"/>
          <w:szCs w:val="28"/>
          <w:highlight w:val="none"/>
        </w:rPr>
        <w:t xml:space="preserve"> </w:t>
      </w:r>
      <w:bookmarkStart w:id="29" w:name="_Toc11484"/>
      <w:r>
        <w:rPr>
          <w:rFonts w:hint="eastAsia" w:hAnsi="宋体"/>
          <w:b/>
          <w:bCs/>
          <w:color w:val="auto"/>
          <w:kern w:val="44"/>
          <w:sz w:val="28"/>
          <w:szCs w:val="28"/>
          <w:highlight w:val="none"/>
          <w:lang w:val="zh-CN"/>
        </w:rPr>
        <w:t>用户需求书</w:t>
      </w:r>
      <w:bookmarkEnd w:id="19"/>
      <w:bookmarkEnd w:id="29"/>
    </w:p>
    <w:p>
      <w:pPr>
        <w:pStyle w:val="2"/>
        <w:spacing w:line="360" w:lineRule="auto"/>
        <w:rPr>
          <w:color w:val="auto"/>
          <w:highlight w:val="none"/>
        </w:rPr>
      </w:pPr>
      <w:bookmarkStart w:id="30" w:name="_Toc60995813"/>
      <w:bookmarkStart w:id="31" w:name="_Toc22599"/>
      <w:bookmarkStart w:id="32" w:name="_Toc26545"/>
      <w:bookmarkStart w:id="33" w:name="_Toc27540"/>
      <w:bookmarkStart w:id="34" w:name="_Toc388458956"/>
      <w:bookmarkStart w:id="35" w:name="_Toc308786493"/>
      <w:r>
        <w:rPr>
          <w:rFonts w:hint="eastAsia"/>
          <w:color w:val="auto"/>
          <w:highlight w:val="none"/>
        </w:rPr>
        <w:t>一、项目概况</w:t>
      </w:r>
      <w:bookmarkEnd w:id="30"/>
      <w:bookmarkEnd w:id="31"/>
      <w:bookmarkEnd w:id="32"/>
      <w:bookmarkEnd w:id="33"/>
      <w:bookmarkEnd w:id="34"/>
    </w:p>
    <w:p>
      <w:pPr>
        <w:spacing w:line="360" w:lineRule="auto"/>
        <w:ind w:firstLine="567" w:firstLineChars="270"/>
        <w:rPr>
          <w:rFonts w:hint="eastAsia" w:eastAsia="宋体"/>
          <w:color w:val="auto"/>
          <w:sz w:val="21"/>
          <w:szCs w:val="21"/>
          <w:highlight w:val="none"/>
          <w:lang w:eastAsia="zh-CN"/>
        </w:rPr>
      </w:pPr>
      <w:r>
        <w:rPr>
          <w:rFonts w:hint="eastAsia"/>
          <w:color w:val="auto"/>
          <w:sz w:val="21"/>
          <w:szCs w:val="21"/>
          <w:highlight w:val="none"/>
        </w:rPr>
        <w:t>1、项目名称：</w:t>
      </w:r>
      <w:r>
        <w:rPr>
          <w:rFonts w:hint="eastAsia"/>
          <w:color w:val="auto"/>
          <w:sz w:val="21"/>
          <w:szCs w:val="21"/>
          <w:highlight w:val="none"/>
          <w:lang w:eastAsia="zh-CN"/>
        </w:rPr>
        <w:t>东莞市湾区国际制造中心总部预算审核</w:t>
      </w:r>
    </w:p>
    <w:p>
      <w:pPr>
        <w:spacing w:line="360" w:lineRule="auto"/>
        <w:ind w:firstLine="567" w:firstLineChars="270"/>
        <w:rPr>
          <w:rFonts w:hint="eastAsia"/>
          <w:color w:val="auto"/>
          <w:sz w:val="21"/>
          <w:szCs w:val="21"/>
          <w:highlight w:val="none"/>
        </w:rPr>
      </w:pPr>
      <w:r>
        <w:rPr>
          <w:rFonts w:hint="eastAsia"/>
          <w:color w:val="auto"/>
          <w:sz w:val="21"/>
          <w:szCs w:val="21"/>
          <w:highlight w:val="none"/>
        </w:rPr>
        <w:t>2、项目地点：东莞市国际商务区</w:t>
      </w:r>
    </w:p>
    <w:p>
      <w:pPr>
        <w:spacing w:line="360" w:lineRule="auto"/>
        <w:ind w:firstLine="567" w:firstLineChars="270"/>
        <w:rPr>
          <w:rFonts w:hint="eastAsia"/>
          <w:color w:val="auto"/>
          <w:sz w:val="21"/>
          <w:szCs w:val="21"/>
          <w:highlight w:val="none"/>
        </w:rPr>
      </w:pPr>
      <w:r>
        <w:rPr>
          <w:rFonts w:hint="eastAsia"/>
          <w:color w:val="auto"/>
          <w:sz w:val="21"/>
          <w:szCs w:val="21"/>
          <w:highlight w:val="none"/>
        </w:rPr>
        <w:t>3、项目规模：东莞市湾区国际制造中心总部项目总用地面积 13,313.85 平方米，总建筑面积约15.86万平方米，最大高度﹤150米。土地用途为商务金融用地、交通服务场站用地，拟建设内容包括商业、办公、地下通道、停车场、公共配套用房及公共配套设施等。（具体建设规模及内容以批复的文件为准）。</w:t>
      </w:r>
    </w:p>
    <w:p>
      <w:pPr>
        <w:spacing w:line="360" w:lineRule="auto"/>
        <w:ind w:firstLine="567" w:firstLineChars="270"/>
        <w:rPr>
          <w:rFonts w:hint="eastAsia"/>
          <w:color w:val="auto"/>
          <w:sz w:val="21"/>
          <w:szCs w:val="21"/>
          <w:highlight w:val="none"/>
        </w:rPr>
      </w:pPr>
      <w:r>
        <w:rPr>
          <w:rFonts w:hint="eastAsia"/>
          <w:color w:val="auto"/>
          <w:sz w:val="21"/>
          <w:szCs w:val="21"/>
          <w:highlight w:val="none"/>
        </w:rPr>
        <w:t>4、投资金额：项目总投资约187000万元，其中工程投资约109997.52万元。</w:t>
      </w:r>
    </w:p>
    <w:p>
      <w:pPr>
        <w:spacing w:line="360" w:lineRule="auto"/>
        <w:ind w:firstLine="567" w:firstLineChars="270"/>
        <w:rPr>
          <w:rFonts w:hint="eastAsia"/>
          <w:color w:val="auto"/>
          <w:sz w:val="21"/>
          <w:szCs w:val="21"/>
          <w:highlight w:val="none"/>
        </w:rPr>
      </w:pPr>
      <w:r>
        <w:rPr>
          <w:rFonts w:hint="eastAsia"/>
          <w:color w:val="auto"/>
          <w:sz w:val="21"/>
          <w:szCs w:val="21"/>
          <w:highlight w:val="none"/>
        </w:rPr>
        <w:t>5、服务期限：从合同签订之日起至咨询合同结算完毕经双方确认后结束，质量保证期由咨询合同结算完毕经双方确认之日起1年。</w:t>
      </w:r>
    </w:p>
    <w:p>
      <w:pPr>
        <w:pStyle w:val="2"/>
        <w:spacing w:line="360" w:lineRule="auto"/>
        <w:rPr>
          <w:rFonts w:hint="eastAsia"/>
          <w:color w:val="auto"/>
          <w:highlight w:val="none"/>
        </w:rPr>
      </w:pPr>
      <w:bookmarkStart w:id="36" w:name="_Toc60995814"/>
      <w:bookmarkStart w:id="37" w:name="_Toc5059"/>
      <w:bookmarkStart w:id="38" w:name="_Toc17618"/>
      <w:bookmarkStart w:id="39" w:name="_Toc388458957"/>
      <w:r>
        <w:rPr>
          <w:rFonts w:hint="eastAsia"/>
          <w:color w:val="auto"/>
          <w:highlight w:val="none"/>
        </w:rPr>
        <w:t>二、服务内容</w:t>
      </w:r>
      <w:bookmarkEnd w:id="36"/>
      <w:bookmarkEnd w:id="37"/>
      <w:bookmarkEnd w:id="38"/>
      <w:bookmarkEnd w:id="39"/>
    </w:p>
    <w:p>
      <w:pPr>
        <w:spacing w:line="360" w:lineRule="auto"/>
        <w:ind w:left="65" w:leftChars="27" w:right="144" w:firstLine="451" w:firstLineChars="215"/>
        <w:rPr>
          <w:rFonts w:hAnsi="宋体"/>
          <w:color w:val="auto"/>
          <w:sz w:val="21"/>
          <w:szCs w:val="21"/>
          <w:highlight w:val="none"/>
          <w:lang w:val="zh-CN"/>
        </w:rPr>
      </w:pPr>
      <w:r>
        <w:rPr>
          <w:rFonts w:hint="eastAsia" w:hAnsi="宋体"/>
          <w:color w:val="auto"/>
          <w:sz w:val="21"/>
          <w:szCs w:val="21"/>
          <w:highlight w:val="none"/>
          <w:lang w:val="zh-CN"/>
        </w:rPr>
        <w:t>包括但不限于以下内容：</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1、施工图的预算、工程量清单、定额工期文件及施工图阶段目标成本的审核；</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2、施工图预算相关的造价分析并按发包人要求出具相关文件；</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3、施工招标（如有）电子化工程量清单审核；</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4、发包人委托的其他工作：包括但不限于进行经济技术指标分析、参与各方组织的关于工程造价控制的工作会议、信息化管理、项目合约管理等。</w:t>
      </w:r>
    </w:p>
    <w:p>
      <w:pPr>
        <w:pStyle w:val="2"/>
        <w:spacing w:line="360" w:lineRule="auto"/>
        <w:rPr>
          <w:bCs/>
          <w:color w:val="auto"/>
          <w:szCs w:val="21"/>
          <w:highlight w:val="none"/>
        </w:rPr>
      </w:pPr>
      <w:bookmarkStart w:id="40" w:name="_Toc16681"/>
      <w:bookmarkStart w:id="41" w:name="_Toc60995546"/>
      <w:bookmarkStart w:id="42" w:name="_Toc30851"/>
      <w:bookmarkStart w:id="43" w:name="_Toc245784931"/>
      <w:bookmarkStart w:id="44" w:name="_Toc254966654"/>
      <w:bookmarkStart w:id="45" w:name="_Toc388458958"/>
      <w:r>
        <w:rPr>
          <w:rFonts w:hint="eastAsia"/>
          <w:bCs/>
          <w:color w:val="auto"/>
          <w:szCs w:val="21"/>
          <w:highlight w:val="none"/>
        </w:rPr>
        <w:t>三、对造价咨询单位（中标后）</w:t>
      </w:r>
      <w:r>
        <w:rPr>
          <w:bCs/>
          <w:color w:val="auto"/>
          <w:szCs w:val="21"/>
          <w:highlight w:val="none"/>
        </w:rPr>
        <w:t>要求</w:t>
      </w:r>
      <w:bookmarkEnd w:id="40"/>
      <w:bookmarkEnd w:id="41"/>
      <w:bookmarkEnd w:id="42"/>
      <w:bookmarkEnd w:id="43"/>
      <w:bookmarkEnd w:id="44"/>
      <w:bookmarkEnd w:id="45"/>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1、造价咨询单位应严格按照国家和省、市有关财政、财务、基建管理、工程造价的法规、政策文件的有关规定、以及招标人有关投资管控与造价管理的相关规定和对造价咨询成果文件的要求，本着合理、合规节约投资的原则，客观、公正地开展财政投资项目造价咨询工作，按时保质保量提供造价咨询服务，对造价咨询成果的真实性、准确性、完整性、合法性、合理性负责，并负有保密责任。</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2、中标后，造价咨询单位必须按投标时提交的拟派本项目的造价咨询项目负责人、专业负责人、专业造价人员及相关工作人员在东莞定点办公。造价咨询单位必须在东莞市设有固定的办公场所、资料档案保管场所；配备专业造价管理软件和交通工具等。</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3、造价咨询单位人员连续二次不参加工作例会或有关专题会议等，发包人代表将记录缺位人员情况，必要时提出更换人员请求，或书面告诫，直到经发包人认可的人员到位。</w:t>
      </w:r>
    </w:p>
    <w:p>
      <w:pPr>
        <w:spacing w:line="360" w:lineRule="auto"/>
        <w:ind w:left="65" w:leftChars="27" w:right="144" w:firstLine="451" w:firstLineChars="215"/>
        <w:rPr>
          <w:rFonts w:hint="eastAsia" w:hAnsi="宋体"/>
          <w:color w:val="auto"/>
          <w:sz w:val="21"/>
          <w:szCs w:val="21"/>
          <w:highlight w:val="none"/>
        </w:rPr>
      </w:pPr>
      <w:r>
        <w:rPr>
          <w:rFonts w:hint="eastAsia" w:hAnsi="宋体"/>
          <w:color w:val="auto"/>
          <w:sz w:val="21"/>
          <w:szCs w:val="21"/>
          <w:highlight w:val="none"/>
        </w:rPr>
        <w:t xml:space="preserve">4、如果造价咨询单位人员渎职、拒不执行发包人意见、服务态度恶劣，影响工作的，发包人认为有必要更换造价咨询单位人员时，将出具书面通知(无需说明理由)，造价咨询单位应立即撤换，并重新委派经发包人认可的人员到位。 </w:t>
      </w:r>
    </w:p>
    <w:p>
      <w:pPr>
        <w:spacing w:line="360" w:lineRule="auto"/>
        <w:ind w:left="65" w:leftChars="27" w:right="144" w:firstLine="451" w:firstLineChars="215"/>
        <w:rPr>
          <w:rFonts w:hAnsi="宋体"/>
          <w:bCs/>
          <w:color w:val="auto"/>
          <w:szCs w:val="21"/>
          <w:highlight w:val="none"/>
        </w:rPr>
      </w:pPr>
      <w:r>
        <w:rPr>
          <w:rFonts w:hint="eastAsia" w:hAnsi="宋体"/>
          <w:color w:val="auto"/>
          <w:sz w:val="21"/>
          <w:szCs w:val="21"/>
          <w:highlight w:val="none"/>
        </w:rPr>
        <w:t>5、所有造价技术人员均应专业对口或具有与其岗位工作相适应的工作经历；具有作风正派、廉洁奉公、吃苦耐劳、认真负责的品质，身体健康能胜任现场工作。</w:t>
      </w:r>
      <w:r>
        <w:rPr>
          <w:rFonts w:hint="eastAsia" w:hAnsi="宋体"/>
          <w:color w:val="auto"/>
          <w:sz w:val="21"/>
          <w:szCs w:val="21"/>
          <w:highlight w:val="none"/>
          <w:lang w:val="zh-CN"/>
        </w:rPr>
        <w:t>。</w:t>
      </w:r>
    </w:p>
    <w:p>
      <w:pPr>
        <w:pStyle w:val="2"/>
        <w:spacing w:line="360" w:lineRule="auto"/>
        <w:rPr>
          <w:rFonts w:cs="PMingLiU"/>
          <w:color w:val="auto"/>
          <w:position w:val="-1"/>
          <w:szCs w:val="21"/>
          <w:highlight w:val="none"/>
        </w:rPr>
      </w:pPr>
      <w:r>
        <w:rPr>
          <w:rFonts w:hint="eastAsia" w:cs="PMingLiU"/>
          <w:color w:val="auto"/>
          <w:position w:val="-1"/>
          <w:szCs w:val="21"/>
          <w:highlight w:val="none"/>
        </w:rPr>
        <w:t>四、对造价咨询单位（中标后）投入本项目的专业人员要求</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1、</w:t>
      </w:r>
      <w:r>
        <w:rPr>
          <w:rFonts w:hint="eastAsia" w:hAnsi="宋体"/>
          <w:color w:val="auto"/>
          <w:sz w:val="21"/>
          <w:szCs w:val="21"/>
          <w:highlight w:val="none"/>
          <w:lang w:val="zh-CN"/>
        </w:rPr>
        <w:t>本项目需配备的专业人员详见本篇附件二：造价咨询服务人员配备要求表。</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2、</w:t>
      </w:r>
      <w:r>
        <w:rPr>
          <w:rFonts w:hint="eastAsia" w:hAnsi="宋体"/>
          <w:color w:val="auto"/>
          <w:sz w:val="21"/>
          <w:szCs w:val="21"/>
          <w:highlight w:val="none"/>
          <w:lang w:val="zh-CN"/>
        </w:rPr>
        <w:t>造价咨询单位明确拟派造价人员必须熟悉财政、财务、工程造价管理政策，能充分胜任从事工程项目造价咨询工作。中标后，造价咨询单位应在与发包人签订合同前按投标时的拟派造价人员名单报招标人备案。</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3、</w:t>
      </w:r>
      <w:r>
        <w:rPr>
          <w:rFonts w:hint="eastAsia" w:hAnsi="宋体"/>
          <w:color w:val="auto"/>
          <w:sz w:val="21"/>
          <w:szCs w:val="21"/>
          <w:highlight w:val="none"/>
          <w:lang w:val="zh-CN"/>
        </w:rPr>
        <w:t>造价咨询单位必须在拟派人员名单中按发包人要求安排足够的技术人员开展工作，并明确各个项目的造价人员，如发包人认为造价咨询单位派出的造价人员不足以按期完成造价咨询任务，造价咨询单位应按发包人要求增派符合《造价咨询服务人员配备要求表》的造价人员。 如发包人认为造价咨询单位派出的造价人员不能胜任工作，发包人有权要求造价咨询单位更换造价人员；</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4、</w:t>
      </w:r>
      <w:r>
        <w:rPr>
          <w:rFonts w:hint="eastAsia" w:hAnsi="宋体"/>
          <w:color w:val="auto"/>
          <w:sz w:val="21"/>
          <w:szCs w:val="21"/>
          <w:highlight w:val="none"/>
          <w:lang w:val="zh-CN"/>
        </w:rPr>
        <w:t>造价咨询单位必须具有保证业务需要的项目造价管理系统、交通工具、办公 设备和造价咨询管理软件等。</w:t>
      </w:r>
    </w:p>
    <w:p>
      <w:pPr>
        <w:spacing w:line="360" w:lineRule="auto"/>
        <w:ind w:left="65" w:leftChars="27" w:right="144" w:firstLine="451" w:firstLineChars="215"/>
        <w:rPr>
          <w:rFonts w:hAnsi="宋体"/>
          <w:bCs/>
          <w:color w:val="auto"/>
          <w:szCs w:val="21"/>
          <w:highlight w:val="none"/>
        </w:rPr>
      </w:pPr>
      <w:r>
        <w:rPr>
          <w:rFonts w:hint="eastAsia" w:hAnsi="宋体"/>
          <w:color w:val="auto"/>
          <w:sz w:val="21"/>
          <w:szCs w:val="21"/>
          <w:highlight w:val="none"/>
        </w:rPr>
        <w:t>5、</w:t>
      </w:r>
      <w:r>
        <w:rPr>
          <w:rFonts w:hint="eastAsia" w:hAnsi="宋体"/>
          <w:color w:val="auto"/>
          <w:sz w:val="21"/>
          <w:szCs w:val="21"/>
          <w:highlight w:val="none"/>
          <w:lang w:val="zh-CN"/>
        </w:rPr>
        <w:t>造价咨询单位须独立完成发包人委托的造价咨询业务，不得将造价咨询任务转让第三方完成，保证项目资料的完整，不得遗失、损坏项目资料，并按发包人的要求按期做好已完项目的相关资料移交和归档工作。未经发包人同意，不得以任何形式向任何单位或个人披露造价咨询项目有关的信息，不得对外提供、泄露审核有关情况。</w:t>
      </w:r>
    </w:p>
    <w:p>
      <w:pPr>
        <w:pStyle w:val="2"/>
        <w:spacing w:line="360" w:lineRule="auto"/>
        <w:rPr>
          <w:color w:val="auto"/>
          <w:position w:val="-1"/>
          <w:szCs w:val="21"/>
          <w:highlight w:val="none"/>
        </w:rPr>
      </w:pPr>
      <w:r>
        <w:rPr>
          <w:color w:val="auto"/>
          <w:position w:val="-1"/>
          <w:szCs w:val="21"/>
          <w:highlight w:val="none"/>
        </w:rPr>
        <w:t>五、质量</w:t>
      </w:r>
      <w:r>
        <w:rPr>
          <w:rFonts w:hint="eastAsia"/>
          <w:color w:val="auto"/>
          <w:position w:val="-1"/>
          <w:szCs w:val="21"/>
          <w:highlight w:val="none"/>
        </w:rPr>
        <w:t>要求</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1、</w:t>
      </w:r>
      <w:r>
        <w:rPr>
          <w:rFonts w:hint="eastAsia" w:hAnsi="宋体"/>
          <w:color w:val="auto"/>
          <w:sz w:val="21"/>
          <w:szCs w:val="21"/>
          <w:highlight w:val="none"/>
          <w:lang w:val="zh-CN"/>
        </w:rPr>
        <w:t>能够承诺保证有足够的人力、物力等资源保证按时按质按量完成委托的造价咨询业务，提供优质服务，并制订管理质量控制措施，作出违约责任、以经济赔偿大小的承诺，对造价咨询成果的真实性、准确性负责的，建立三级复核制度。</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2、</w:t>
      </w:r>
      <w:r>
        <w:rPr>
          <w:rFonts w:hint="eastAsia" w:hAnsi="宋体"/>
          <w:color w:val="auto"/>
          <w:sz w:val="21"/>
          <w:szCs w:val="21"/>
          <w:highlight w:val="none"/>
          <w:lang w:val="zh-CN"/>
        </w:rPr>
        <w:t>严格按照国家和省、市有关财政、财务、基建管理、工程造价的法规、政策文件的有关规定、以及招标人有关投资管控与造价管理的相关规定和对造价咨询成果文件的要求，本着合理、合规节约投资的原则，客观、公正地开展财政投资项目造价咨询工作，按时保质保量提供造价咨询服务，对造价咨询成果的真实性、准确性、完整性、合法性、合理性负责，并负有保密责任。</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3、</w:t>
      </w:r>
      <w:r>
        <w:rPr>
          <w:rFonts w:hint="eastAsia" w:hAnsi="宋体"/>
          <w:color w:val="auto"/>
          <w:sz w:val="21"/>
          <w:szCs w:val="21"/>
          <w:highlight w:val="none"/>
          <w:lang w:val="zh-CN"/>
        </w:rPr>
        <w:t>咨询人在对设备材料价格进行询价时，对有品牌规定的，每一个推荐品牌都应该询价，没有品牌规定的，被询价单位不得少于3家，做好询价记录，并按规定格式要求提交给发包人。询价记录书面证明资料应包括询价时间、地点、询价方式，被询价单位及人员、类别或类型，询价情况和其他询价过程应记录的事项。</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4、</w:t>
      </w:r>
      <w:r>
        <w:rPr>
          <w:rFonts w:hint="eastAsia" w:hAnsi="宋体"/>
          <w:color w:val="auto"/>
          <w:sz w:val="21"/>
          <w:szCs w:val="21"/>
          <w:highlight w:val="none"/>
          <w:lang w:val="zh-CN"/>
        </w:rPr>
        <w:t>清单设置及工程量计算执行《建设工程工程量清单计价规范》（GB 50500--2013）、《房屋建筑与装饰工程工程量计算规范》(GB 50854--2013)、《通用安装工程工程量计算规范》(GB 50856--2013)、《市政工程工程量计算规范》(GB 50857--2013)、《园林绿化工程工程量计算规范》(GB 50858--2013)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rPr>
        <w:t>5、</w:t>
      </w:r>
      <w:r>
        <w:rPr>
          <w:rFonts w:hint="eastAsia" w:hAnsi="宋体"/>
          <w:color w:val="auto"/>
          <w:sz w:val="21"/>
          <w:szCs w:val="21"/>
          <w:highlight w:val="none"/>
          <w:lang w:val="zh-CN"/>
        </w:rPr>
        <w:t>现行最新的工程造价规范性文件与第（四）点不一致的，按最新的规定执行。</w:t>
      </w:r>
    </w:p>
    <w:p>
      <w:pPr>
        <w:pStyle w:val="2"/>
        <w:spacing w:line="360" w:lineRule="auto"/>
        <w:rPr>
          <w:color w:val="auto"/>
          <w:position w:val="-1"/>
          <w:szCs w:val="21"/>
          <w:highlight w:val="none"/>
        </w:rPr>
      </w:pPr>
      <w:r>
        <w:rPr>
          <w:rFonts w:hint="eastAsia"/>
          <w:color w:val="auto"/>
          <w:position w:val="-1"/>
          <w:szCs w:val="21"/>
          <w:highlight w:val="none"/>
        </w:rPr>
        <w:t>六</w:t>
      </w:r>
      <w:r>
        <w:rPr>
          <w:color w:val="auto"/>
          <w:position w:val="-1"/>
          <w:szCs w:val="21"/>
          <w:highlight w:val="none"/>
        </w:rPr>
        <w:t>、</w:t>
      </w:r>
      <w:r>
        <w:rPr>
          <w:rFonts w:hint="eastAsia"/>
          <w:color w:val="auto"/>
          <w:position w:val="-1"/>
          <w:szCs w:val="21"/>
          <w:highlight w:val="none"/>
        </w:rPr>
        <w:t>设计</w:t>
      </w:r>
      <w:r>
        <w:rPr>
          <w:color w:val="auto"/>
          <w:position w:val="-1"/>
          <w:szCs w:val="21"/>
          <w:highlight w:val="none"/>
        </w:rPr>
        <w:t>图纸</w:t>
      </w:r>
    </w:p>
    <w:p>
      <w:pPr>
        <w:spacing w:line="360" w:lineRule="auto"/>
        <w:ind w:left="65" w:leftChars="27" w:right="144" w:firstLine="451" w:firstLineChars="215"/>
        <w:rPr>
          <w:rFonts w:hint="eastAsia" w:hAnsi="宋体"/>
          <w:color w:val="auto"/>
          <w:sz w:val="21"/>
          <w:szCs w:val="21"/>
          <w:highlight w:val="none"/>
          <w:lang w:val="zh-CN"/>
        </w:rPr>
      </w:pPr>
      <w:r>
        <w:rPr>
          <w:rFonts w:hint="eastAsia" w:hAnsi="宋体"/>
          <w:color w:val="auto"/>
          <w:sz w:val="21"/>
          <w:szCs w:val="21"/>
          <w:highlight w:val="none"/>
          <w:lang w:val="zh-CN"/>
        </w:rPr>
        <w:t>本项目工程暂无设计图纸，中标后由招标人提供给中标人。</w:t>
      </w:r>
    </w:p>
    <w:p>
      <w:pPr>
        <w:pStyle w:val="2"/>
        <w:numPr>
          <w:ilvl w:val="0"/>
          <w:numId w:val="17"/>
        </w:numPr>
        <w:spacing w:line="360" w:lineRule="auto"/>
        <w:rPr>
          <w:rFonts w:hint="eastAsia"/>
          <w:color w:val="auto"/>
          <w:highlight w:val="none"/>
        </w:rPr>
      </w:pPr>
      <w:r>
        <w:rPr>
          <w:rFonts w:hint="eastAsia"/>
          <w:color w:val="auto"/>
          <w:highlight w:val="none"/>
        </w:rPr>
        <w:t>工程造价咨询服务费估算</w:t>
      </w:r>
    </w:p>
    <w:p>
      <w:pPr>
        <w:spacing w:line="360" w:lineRule="auto"/>
        <w:ind w:firstLine="420" w:firstLineChars="200"/>
        <w:rPr>
          <w:rFonts w:hint="eastAsia"/>
          <w:bCs/>
          <w:color w:val="auto"/>
          <w:sz w:val="21"/>
          <w:szCs w:val="21"/>
          <w:highlight w:val="none"/>
        </w:rPr>
      </w:pPr>
      <w:r>
        <w:rPr>
          <w:rFonts w:hint="eastAsia" w:hAnsi="宋体"/>
          <w:color w:val="auto"/>
          <w:sz w:val="21"/>
          <w:szCs w:val="21"/>
          <w:highlight w:val="none"/>
        </w:rPr>
        <w:t>本</w:t>
      </w:r>
      <w:r>
        <w:rPr>
          <w:rFonts w:hint="eastAsia"/>
          <w:bCs/>
          <w:color w:val="auto"/>
          <w:sz w:val="21"/>
          <w:szCs w:val="21"/>
          <w:highlight w:val="none"/>
        </w:rPr>
        <w:t>项目的工程造价咨询服务费估算详见</w:t>
      </w:r>
      <w:r>
        <w:rPr>
          <w:rFonts w:hint="eastAsia" w:hAnsi="宋体"/>
          <w:bCs/>
          <w:color w:val="auto"/>
          <w:sz w:val="21"/>
          <w:szCs w:val="21"/>
          <w:highlight w:val="none"/>
        </w:rPr>
        <w:t>本篇附件</w:t>
      </w:r>
      <w:r>
        <w:rPr>
          <w:rFonts w:hint="eastAsia"/>
          <w:bCs/>
          <w:color w:val="auto"/>
          <w:sz w:val="21"/>
          <w:szCs w:val="21"/>
          <w:highlight w:val="none"/>
        </w:rPr>
        <w:t>一</w:t>
      </w:r>
      <w:r>
        <w:rPr>
          <w:rFonts w:hint="eastAsia" w:hAnsi="宋体"/>
          <w:bCs/>
          <w:color w:val="auto"/>
          <w:sz w:val="21"/>
          <w:szCs w:val="21"/>
          <w:highlight w:val="none"/>
        </w:rPr>
        <w:t>《东莞市湾区国际制造中心总部</w:t>
      </w:r>
      <w:r>
        <w:rPr>
          <w:rFonts w:hint="eastAsia" w:hAnsi="宋体" w:cs="宋体"/>
          <w:color w:val="auto"/>
          <w:sz w:val="21"/>
          <w:szCs w:val="21"/>
          <w:highlight w:val="none"/>
        </w:rPr>
        <w:t>工程造价咨询服务收费估算表</w:t>
      </w:r>
      <w:r>
        <w:rPr>
          <w:rFonts w:hint="eastAsia" w:hAnsi="宋体"/>
          <w:bCs/>
          <w:color w:val="auto"/>
          <w:sz w:val="21"/>
          <w:szCs w:val="21"/>
          <w:highlight w:val="none"/>
          <w:lang w:val="zh-CN"/>
        </w:rPr>
        <w:t>》</w:t>
      </w:r>
      <w:r>
        <w:rPr>
          <w:rFonts w:hint="eastAsia"/>
          <w:bCs/>
          <w:color w:val="auto"/>
          <w:sz w:val="21"/>
          <w:szCs w:val="21"/>
          <w:highlight w:val="none"/>
          <w:lang w:val="zh-CN"/>
        </w:rPr>
        <w:t>。</w:t>
      </w:r>
    </w:p>
    <w:p>
      <w:pPr>
        <w:pStyle w:val="2"/>
        <w:spacing w:line="360" w:lineRule="auto"/>
        <w:rPr>
          <w:color w:val="auto"/>
          <w:highlight w:val="none"/>
        </w:rPr>
      </w:pPr>
      <w:bookmarkStart w:id="46" w:name="_Toc325102316"/>
      <w:r>
        <w:rPr>
          <w:rFonts w:hint="eastAsia"/>
          <w:color w:val="auto"/>
          <w:highlight w:val="none"/>
        </w:rPr>
        <w:t>八、人员要求</w:t>
      </w:r>
      <w:bookmarkEnd w:id="46"/>
    </w:p>
    <w:p>
      <w:pPr>
        <w:spacing w:line="360" w:lineRule="auto"/>
        <w:ind w:firstLine="420" w:firstLineChars="200"/>
        <w:rPr>
          <w:color w:val="auto"/>
          <w:sz w:val="21"/>
          <w:szCs w:val="21"/>
          <w:highlight w:val="none"/>
        </w:rPr>
      </w:pPr>
      <w:r>
        <w:rPr>
          <w:rFonts w:hint="eastAsia" w:hAnsi="宋体"/>
          <w:color w:val="auto"/>
          <w:sz w:val="21"/>
          <w:szCs w:val="21"/>
          <w:highlight w:val="none"/>
        </w:rPr>
        <w:t>拟投入项目组成员配置合理、专业齐全、经验丰富，人员配置的最低要求须满足本篇附件二《造价咨询服务人员</w:t>
      </w:r>
      <w:r>
        <w:rPr>
          <w:rFonts w:hint="eastAsia" w:hAnsi="宋体"/>
          <w:color w:val="auto"/>
          <w:sz w:val="21"/>
          <w:szCs w:val="21"/>
          <w:highlight w:val="none"/>
          <w:lang w:val="zh-CN"/>
        </w:rPr>
        <w:t>配备要求表》</w:t>
      </w:r>
      <w:r>
        <w:rPr>
          <w:rFonts w:hint="eastAsia" w:hAnsi="宋体"/>
          <w:color w:val="auto"/>
          <w:sz w:val="21"/>
          <w:szCs w:val="21"/>
          <w:highlight w:val="none"/>
        </w:rPr>
        <w:t>。</w:t>
      </w:r>
    </w:p>
    <w:bookmarkEnd w:id="35"/>
    <w:p>
      <w:pPr>
        <w:pStyle w:val="2"/>
        <w:spacing w:line="360" w:lineRule="auto"/>
        <w:rPr>
          <w:rFonts w:hint="eastAsia"/>
          <w:color w:val="auto"/>
          <w:highlight w:val="none"/>
        </w:rPr>
      </w:pPr>
      <w:r>
        <w:rPr>
          <w:rFonts w:hint="eastAsia"/>
          <w:color w:val="auto"/>
          <w:highlight w:val="none"/>
        </w:rPr>
        <w:t>九、付款方式</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（1）乙方按合同约定提交约定的初步成果文件，经甲方确认后30个日历天内，甲方支付乙方咨询服务费合同价的50%；</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（2）乙方按合同约定提交约定的正式成果文件，并经甲方确认后30个日历天内，甲方向乙方支付至咨询服务费合同价的80%；</w:t>
      </w:r>
    </w:p>
    <w:p>
      <w:pPr>
        <w:spacing w:line="360" w:lineRule="auto"/>
        <w:rPr>
          <w:rFonts w:hint="eastAsia"/>
          <w:color w:val="auto"/>
          <w:highlight w:val="none"/>
        </w:rPr>
      </w:pPr>
      <w:r>
        <w:rPr>
          <w:rFonts w:hint="eastAsia" w:hAnsi="宋体" w:cs="宋体"/>
          <w:color w:val="auto"/>
          <w:sz w:val="21"/>
          <w:szCs w:val="21"/>
          <w:highlight w:val="none"/>
        </w:rPr>
        <w:t>（3）本合同在乙方提交完整合格竣工验收结算资料并经甲乙双方确认结算金额后30个日历天内，甲方向乙方支付至咨询服务费结算价的100%。</w:t>
      </w:r>
    </w:p>
    <w:p>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注：成果文件（初步成果及最终成果）包含但不限于：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纸质成果文件应包含施工图预算、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广联达</w:t>
      </w:r>
      <w:r>
        <w:rPr>
          <w:rFonts w:hint="eastAsia" w:hAnsi="宋体" w:cs="宋体"/>
          <w:color w:val="auto"/>
          <w:sz w:val="21"/>
          <w:szCs w:val="21"/>
          <w:highlight w:val="none"/>
        </w:rPr>
        <w:t>，如确需采用其它算量软件，需征得招标人的确认；</w:t>
      </w:r>
    </w:p>
    <w:p>
      <w:pPr>
        <w:pStyle w:val="2"/>
        <w:rPr>
          <w:rFonts w:hint="eastAsia"/>
          <w:color w:val="auto"/>
          <w:highlight w:val="none"/>
        </w:rPr>
        <w:sectPr>
          <w:footerReference r:id="rId7" w:type="default"/>
          <w:type w:val="nextColumn"/>
          <w:pgSz w:w="11907" w:h="16840"/>
          <w:pgMar w:top="1247" w:right="1191" w:bottom="1247" w:left="1191" w:header="851" w:footer="992" w:gutter="0"/>
          <w:cols w:space="720" w:num="1"/>
          <w:docGrid w:linePitch="312" w:charSpace="0"/>
        </w:sectPr>
      </w:pPr>
    </w:p>
    <w:p>
      <w:pPr>
        <w:pStyle w:val="2"/>
        <w:rPr>
          <w:rFonts w:hint="eastAsia"/>
          <w:color w:val="auto"/>
          <w:highlight w:val="none"/>
        </w:rPr>
      </w:pPr>
      <w:bookmarkStart w:id="47" w:name="_Toc60995522"/>
      <w:bookmarkStart w:id="48" w:name="_Toc20818"/>
      <w:bookmarkStart w:id="49" w:name="_Toc14875"/>
      <w:bookmarkStart w:id="50" w:name="_Toc28386"/>
      <w:r>
        <w:rPr>
          <w:rFonts w:hint="eastAsia"/>
          <w:color w:val="auto"/>
          <w:sz w:val="21"/>
          <w:szCs w:val="21"/>
          <w:highlight w:val="none"/>
        </w:rPr>
        <w:t>附件一：</w:t>
      </w:r>
      <w:r>
        <w:rPr>
          <w:rFonts w:hint="eastAsia" w:cs="宋体"/>
          <w:b/>
          <w:bCs/>
          <w:i w:val="0"/>
          <w:iCs w:val="0"/>
          <w:color w:val="auto"/>
          <w:kern w:val="0"/>
          <w:sz w:val="21"/>
          <w:szCs w:val="21"/>
          <w:highlight w:val="none"/>
          <w:u w:val="none"/>
          <w:lang w:val="en-US" w:eastAsia="zh-CN" w:bidi="ar"/>
        </w:rPr>
        <w:t>东莞市湾区国际制造中心总部预算审核</w:t>
      </w:r>
      <w:r>
        <w:rPr>
          <w:rFonts w:hint="eastAsia" w:ascii="宋体" w:hAnsi="宋体" w:eastAsia="宋体" w:cs="宋体"/>
          <w:b/>
          <w:bCs/>
          <w:i w:val="0"/>
          <w:iCs w:val="0"/>
          <w:color w:val="auto"/>
          <w:kern w:val="0"/>
          <w:sz w:val="21"/>
          <w:szCs w:val="21"/>
          <w:highlight w:val="none"/>
          <w:u w:val="none"/>
          <w:lang w:val="en-US" w:eastAsia="zh-CN" w:bidi="ar"/>
        </w:rPr>
        <w:t>收费计算表</w:t>
      </w:r>
    </w:p>
    <w:tbl>
      <w:tblPr>
        <w:tblStyle w:val="49"/>
        <w:tblW w:w="5000" w:type="pct"/>
        <w:tblInd w:w="0" w:type="dxa"/>
        <w:shd w:val="clear" w:color="auto" w:fill="auto"/>
        <w:tblLayout w:type="autofit"/>
        <w:tblCellMar>
          <w:top w:w="0" w:type="dxa"/>
          <w:left w:w="108" w:type="dxa"/>
          <w:bottom w:w="0" w:type="dxa"/>
          <w:right w:w="108" w:type="dxa"/>
        </w:tblCellMar>
      </w:tblPr>
      <w:tblGrid>
        <w:gridCol w:w="2962"/>
        <w:gridCol w:w="2272"/>
        <w:gridCol w:w="2012"/>
        <w:gridCol w:w="1855"/>
        <w:gridCol w:w="1742"/>
        <w:gridCol w:w="1788"/>
        <w:gridCol w:w="1931"/>
      </w:tblGrid>
      <w:tr>
        <w:tblPrEx>
          <w:shd w:val="clear" w:color="auto" w:fill="auto"/>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9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eastAsia="zh-CN"/>
              </w:rPr>
            </w:pPr>
            <w:r>
              <w:rPr>
                <w:rFonts w:hint="eastAsia" w:hAnsi="宋体" w:cs="宋体"/>
                <w:b/>
                <w:bCs/>
                <w:i w:val="0"/>
                <w:iCs w:val="0"/>
                <w:color w:val="auto"/>
                <w:sz w:val="21"/>
                <w:szCs w:val="21"/>
                <w:highlight w:val="none"/>
                <w:u w:val="none"/>
                <w:lang w:eastAsia="zh-CN"/>
              </w:rPr>
              <w:t>东莞市湾区国际制造中心总部预算审核</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招标人</w:t>
            </w:r>
          </w:p>
        </w:tc>
        <w:tc>
          <w:tcPr>
            <w:tcW w:w="39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r>
              <w:rPr>
                <w:rFonts w:hint="eastAsia" w:hAnsi="宋体"/>
                <w:color w:val="auto"/>
                <w:sz w:val="21"/>
                <w:szCs w:val="21"/>
                <w:highlight w:val="none"/>
              </w:rPr>
              <w:t>东莞市旗美投资发展有限公司</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预算基价(元)</w:t>
            </w:r>
          </w:p>
        </w:tc>
        <w:tc>
          <w:tcPr>
            <w:tcW w:w="39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934988920.00 </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收费标准</w:t>
            </w:r>
          </w:p>
        </w:tc>
        <w:tc>
          <w:tcPr>
            <w:tcW w:w="39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粤价函[2011]742号</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其它说明</w:t>
            </w:r>
          </w:p>
        </w:tc>
        <w:tc>
          <w:tcPr>
            <w:tcW w:w="398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东莞市财政投资项目造价咨询服务收费项目和收费标准</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收费基数(万元)</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分档预算价(元)</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审核概算费率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清单费率</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预算费率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清单收费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预算收费</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100万以下</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r>
      <w:tr>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100万-500万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0.16%</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6400.00 </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500万-1000万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0.14%</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7000.00 </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1000万-5000万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0.12%</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88000.00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48000.00 </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5000万-10000万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0.09%</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45000.00 </w:t>
            </w:r>
          </w:p>
        </w:tc>
      </w:tr>
      <w:tr>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10000万-100000万</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834988920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1502980.06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667991.14 </w:t>
            </w:r>
          </w:p>
        </w:tc>
      </w:tr>
      <w:tr>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100000万以上</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0.08%</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0.00 </w:t>
            </w:r>
          </w:p>
        </w:tc>
      </w:tr>
      <w:tr>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934988920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61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1715980.06 </w:t>
            </w:r>
          </w:p>
        </w:tc>
        <w:tc>
          <w:tcPr>
            <w:tcW w:w="66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776191.14 </w:t>
            </w:r>
          </w:p>
        </w:tc>
      </w:tr>
      <w:tr>
        <w:tblPrEx>
          <w:tblCellMar>
            <w:top w:w="0" w:type="dxa"/>
            <w:left w:w="108" w:type="dxa"/>
            <w:bottom w:w="0" w:type="dxa"/>
            <w:right w:w="108" w:type="dxa"/>
          </w:tblCellMar>
        </w:tblPrEx>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1"/>
                <w:szCs w:val="21"/>
                <w:highlight w:val="none"/>
                <w:u w:val="none"/>
              </w:rPr>
            </w:pPr>
          </w:p>
        </w:tc>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标准收费</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降幅率</w:t>
            </w:r>
          </w:p>
        </w:tc>
        <w:tc>
          <w:tcPr>
            <w:tcW w:w="12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金额(元)</w:t>
            </w:r>
          </w:p>
        </w:tc>
      </w:tr>
      <w:tr>
        <w:trPr>
          <w:trHeight w:val="340" w:hRule="atLeast"/>
        </w:trPr>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审核预算服务费用</w:t>
            </w:r>
          </w:p>
        </w:tc>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1715980.06</w:t>
            </w:r>
            <w:r>
              <w:rPr>
                <w:rFonts w:hint="eastAsia"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776191.14</w:t>
            </w:r>
            <w:r>
              <w:rPr>
                <w:rFonts w:hint="eastAsia" w:hAnsi="宋体" w:eastAsia="宋体" w:cs="宋体"/>
                <w:i w:val="0"/>
                <w:iCs w:val="0"/>
                <w:color w:val="auto"/>
                <w:kern w:val="0"/>
                <w:sz w:val="21"/>
                <w:szCs w:val="21"/>
                <w:highlight w:val="none"/>
                <w:u w:val="none"/>
                <w:lang w:val="en-US" w:eastAsia="zh-CN" w:bidi="ar"/>
              </w:rPr>
              <w:t>*0.6=</w:t>
            </w:r>
            <w:r>
              <w:rPr>
                <w:rFonts w:hint="eastAsia" w:ascii="宋体" w:hAnsi="宋体" w:eastAsia="宋体" w:cs="宋体"/>
                <w:i w:val="0"/>
                <w:iCs w:val="0"/>
                <w:color w:val="auto"/>
                <w:kern w:val="0"/>
                <w:sz w:val="21"/>
                <w:szCs w:val="21"/>
                <w:highlight w:val="none"/>
                <w:u w:val="none"/>
                <w:lang w:val="en-US" w:eastAsia="zh-CN" w:bidi="ar"/>
              </w:rPr>
              <w:t xml:space="preserve">2181694.74 </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Ansi="宋体"/>
                <w:color w:val="auto"/>
                <w:sz w:val="21"/>
                <w:szCs w:val="21"/>
                <w:highlight w:val="none"/>
                <w:lang w:bidi="ar"/>
              </w:rPr>
              <w:t>80.00%*0.9</w:t>
            </w:r>
            <w:r>
              <w:rPr>
                <w:rFonts w:hint="eastAsia" w:hAnsi="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72.00%</w:t>
            </w:r>
          </w:p>
        </w:tc>
        <w:tc>
          <w:tcPr>
            <w:tcW w:w="12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1570820.21 </w:t>
            </w:r>
          </w:p>
        </w:tc>
      </w:tr>
      <w:bookmarkEnd w:id="47"/>
      <w:bookmarkEnd w:id="48"/>
    </w:tbl>
    <w:p>
      <w:pPr>
        <w:rPr>
          <w:rFonts w:hint="eastAsia"/>
          <w:color w:val="auto"/>
          <w:highlight w:val="none"/>
        </w:rPr>
      </w:pPr>
    </w:p>
    <w:p>
      <w:pPr>
        <w:tabs>
          <w:tab w:val="left" w:pos="0"/>
          <w:tab w:val="left" w:pos="900"/>
          <w:tab w:val="left" w:pos="1080"/>
        </w:tabs>
        <w:spacing w:line="40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注：上表中的造价咨询工作内容及收费基数均为暂定，结算时以实际委托的造价咨询工作内容及相应的收费基数，按招标文件第五篇“合同条款格式”附件4《</w:t>
      </w:r>
      <w:r>
        <w:rPr>
          <w:rFonts w:hint="eastAsia" w:hAnsi="宋体" w:cs="宋体"/>
          <w:color w:val="auto"/>
          <w:sz w:val="21"/>
          <w:szCs w:val="21"/>
          <w:highlight w:val="none"/>
          <w:lang w:val="zh-CN"/>
        </w:rPr>
        <w:t>东莞市财政投资项目造价咨询服务收费项目和收费标准</w:t>
      </w:r>
      <w:r>
        <w:rPr>
          <w:rFonts w:hint="eastAsia" w:hAnsi="宋体" w:cs="宋体"/>
          <w:color w:val="auto"/>
          <w:sz w:val="21"/>
          <w:szCs w:val="21"/>
          <w:highlight w:val="none"/>
        </w:rPr>
        <w:t>》的规定计算后乘以中标人的</w:t>
      </w:r>
      <w:r>
        <w:rPr>
          <w:rFonts w:hint="eastAsia" w:hAnsi="宋体" w:cs="宋体"/>
          <w:bCs/>
          <w:color w:val="auto"/>
          <w:sz w:val="21"/>
          <w:szCs w:val="21"/>
          <w:highlight w:val="none"/>
        </w:rPr>
        <w:t>工程造价咨询服务收费系数</w:t>
      </w:r>
      <w:r>
        <w:rPr>
          <w:rFonts w:hint="eastAsia" w:hAnsi="宋体" w:cs="宋体"/>
          <w:color w:val="auto"/>
          <w:sz w:val="21"/>
          <w:szCs w:val="21"/>
          <w:highlight w:val="none"/>
        </w:rPr>
        <w:t>结算。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另外房屋建筑抽钢筋费另计。</w:t>
      </w:r>
    </w:p>
    <w:p>
      <w:pPr>
        <w:pStyle w:val="2"/>
        <w:rPr>
          <w:rStyle w:val="59"/>
          <w:rFonts w:ascii="Times New Roman" w:hAnsi="Times New Roman"/>
          <w:b w:val="0"/>
          <w:color w:val="auto"/>
          <w:highlight w:val="none"/>
        </w:rPr>
        <w:sectPr>
          <w:pgSz w:w="16840" w:h="11907" w:orient="landscape"/>
          <w:pgMar w:top="1191" w:right="1247" w:bottom="1191" w:left="1247" w:header="851" w:footer="992" w:gutter="0"/>
          <w:cols w:space="720" w:num="1"/>
          <w:docGrid w:linePitch="312" w:charSpace="0"/>
        </w:sectPr>
      </w:pPr>
    </w:p>
    <w:p>
      <w:pPr>
        <w:pStyle w:val="2"/>
        <w:rPr>
          <w:rFonts w:hint="eastAsia"/>
          <w:color w:val="auto"/>
          <w:highlight w:val="none"/>
        </w:rPr>
      </w:pPr>
      <w:r>
        <w:rPr>
          <w:rFonts w:hint="eastAsia" w:ascii="宋体" w:hAnsi="宋体" w:eastAsia="宋体" w:cs="宋体"/>
          <w:color w:val="auto"/>
          <w:highlight w:val="none"/>
        </w:rPr>
        <w:t>★</w:t>
      </w:r>
      <w:r>
        <w:rPr>
          <w:rFonts w:hint="eastAsia"/>
          <w:color w:val="auto"/>
          <w:highlight w:val="none"/>
        </w:rPr>
        <w:t>附件二：造价咨询服务人员配备要求表</w:t>
      </w:r>
      <w:bookmarkEnd w:id="49"/>
      <w:bookmarkEnd w:id="50"/>
    </w:p>
    <w:p>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序号</w:t>
            </w:r>
          </w:p>
        </w:tc>
        <w:tc>
          <w:tcPr>
            <w:tcW w:w="1383" w:type="dxa"/>
            <w:noWrap w:val="0"/>
            <w:vAlign w:val="center"/>
          </w:tcPr>
          <w:p>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职务/专业</w:t>
            </w:r>
          </w:p>
        </w:tc>
        <w:tc>
          <w:tcPr>
            <w:tcW w:w="3660" w:type="dxa"/>
            <w:noWrap w:val="0"/>
            <w:vAlign w:val="center"/>
          </w:tcPr>
          <w:p>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资格要求</w:t>
            </w:r>
          </w:p>
        </w:tc>
        <w:tc>
          <w:tcPr>
            <w:tcW w:w="765" w:type="dxa"/>
            <w:noWrap w:val="0"/>
            <w:vAlign w:val="center"/>
          </w:tcPr>
          <w:p>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人数</w:t>
            </w:r>
          </w:p>
        </w:tc>
        <w:tc>
          <w:tcPr>
            <w:tcW w:w="2132" w:type="dxa"/>
            <w:noWrap w:val="0"/>
            <w:vAlign w:val="center"/>
          </w:tcPr>
          <w:p>
            <w:pPr>
              <w:spacing w:line="360" w:lineRule="exact"/>
              <w:jc w:val="center"/>
              <w:rPr>
                <w:rFonts w:hint="eastAsia" w:hAnsi="宋体" w:cs="宋体"/>
                <w:b/>
                <w:color w:val="auto"/>
                <w:sz w:val="21"/>
                <w:szCs w:val="21"/>
                <w:highlight w:val="none"/>
              </w:rPr>
            </w:pPr>
            <w:r>
              <w:rPr>
                <w:rFonts w:hint="eastAsia" w:hAnsi="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造价咨询项目负责人</w:t>
            </w:r>
          </w:p>
        </w:tc>
        <w:tc>
          <w:tcPr>
            <w:tcW w:w="3660" w:type="dxa"/>
            <w:noWrap w:val="0"/>
            <w:vAlign w:val="center"/>
          </w:tcPr>
          <w:p>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具备住建部核发的造价工程师（或一级造价工程师）注册证书，并且注册在投标人本单位。</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专职服务本项目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2</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土建专业负责人</w:t>
            </w:r>
          </w:p>
        </w:tc>
        <w:tc>
          <w:tcPr>
            <w:tcW w:w="3660" w:type="dxa"/>
            <w:noWrap w:val="0"/>
            <w:vAlign w:val="center"/>
          </w:tcPr>
          <w:p>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具备住建部核发的造价工程师（或一级造价工程师）注册证书，并且注册在投标人本单位。</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专职服务本项目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3</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安装专业负责人</w:t>
            </w:r>
          </w:p>
        </w:tc>
        <w:tc>
          <w:tcPr>
            <w:tcW w:w="3660" w:type="dxa"/>
            <w:noWrap w:val="0"/>
            <w:vAlign w:val="center"/>
          </w:tcPr>
          <w:p>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具备住建部核发的造价工程师（或一级造价工程师）注册证书，并且注册在投标人本单位。</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专职服务本项目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4</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土建专业造价人员</w:t>
            </w:r>
          </w:p>
        </w:tc>
        <w:tc>
          <w:tcPr>
            <w:tcW w:w="3660" w:type="dxa"/>
            <w:noWrap w:val="0"/>
            <w:vAlign w:val="center"/>
          </w:tcPr>
          <w:p>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pPr>
              <w:spacing w:line="360" w:lineRule="exact"/>
              <w:rPr>
                <w:rFonts w:hint="eastAsia" w:hAnsi="宋体" w:cs="宋体"/>
                <w:color w:val="auto"/>
                <w:sz w:val="21"/>
                <w:szCs w:val="21"/>
                <w:highlight w:val="none"/>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p>
            <w:pPr>
              <w:spacing w:line="360" w:lineRule="exact"/>
              <w:rPr>
                <w:rFonts w:hint="eastAsia" w:hAnsi="宋体" w:cs="宋体"/>
                <w:b/>
                <w:color w:val="auto"/>
                <w:sz w:val="21"/>
                <w:szCs w:val="21"/>
                <w:highlight w:val="none"/>
              </w:rPr>
            </w:pPr>
            <w:r>
              <w:rPr>
                <w:rFonts w:hint="eastAsia" w:hAnsi="宋体" w:cs="宋体"/>
                <w:b/>
                <w:color w:val="auto"/>
                <w:sz w:val="21"/>
                <w:szCs w:val="21"/>
                <w:highlight w:val="none"/>
              </w:rPr>
              <w:t>或</w:t>
            </w:r>
          </w:p>
          <w:p>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具备住建部核发的造价工程师（或二级或以上造价工程师）注册证书，并且注册在投标人本单位。</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8</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结构预算专业3人，建筑装饰预算专业3人，幕墙预算专业1人，园林绿化预算专业1人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5</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安装专业造价人员</w:t>
            </w:r>
          </w:p>
        </w:tc>
        <w:tc>
          <w:tcPr>
            <w:tcW w:w="3660" w:type="dxa"/>
            <w:noWrap w:val="0"/>
            <w:vAlign w:val="center"/>
          </w:tcPr>
          <w:p>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pPr>
              <w:spacing w:line="360" w:lineRule="exact"/>
              <w:rPr>
                <w:rFonts w:hint="eastAsia" w:hAnsi="宋体" w:cs="宋体"/>
                <w:color w:val="auto"/>
                <w:sz w:val="21"/>
                <w:szCs w:val="21"/>
                <w:highlight w:val="none"/>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p>
            <w:pPr>
              <w:spacing w:line="360" w:lineRule="exact"/>
              <w:rPr>
                <w:rFonts w:hint="eastAsia" w:hAnsi="宋体" w:cs="宋体"/>
                <w:b/>
                <w:color w:val="auto"/>
                <w:sz w:val="21"/>
                <w:szCs w:val="21"/>
                <w:highlight w:val="none"/>
              </w:rPr>
            </w:pPr>
            <w:r>
              <w:rPr>
                <w:rFonts w:hint="eastAsia" w:hAnsi="宋体" w:cs="宋体"/>
                <w:b/>
                <w:color w:val="auto"/>
                <w:sz w:val="21"/>
                <w:szCs w:val="21"/>
                <w:highlight w:val="none"/>
              </w:rPr>
              <w:t>或</w:t>
            </w:r>
          </w:p>
          <w:p>
            <w:pPr>
              <w:spacing w:line="360" w:lineRule="exact"/>
              <w:rPr>
                <w:rFonts w:hint="eastAsia" w:hAnsi="宋体" w:cs="宋体"/>
                <w:color w:val="auto"/>
                <w:sz w:val="21"/>
                <w:szCs w:val="21"/>
                <w:highlight w:val="none"/>
              </w:rPr>
            </w:pPr>
            <w:r>
              <w:rPr>
                <w:rFonts w:hint="eastAsia" w:hAnsi="宋体" w:cs="宋体"/>
                <w:color w:val="auto"/>
                <w:sz w:val="21"/>
                <w:szCs w:val="21"/>
                <w:highlight w:val="none"/>
              </w:rPr>
              <w:t>具备住建部核发的造价工程师（或二级或以上造价工程师）注册证书，并且注册在投标人本单位。</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6</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电气预算专业2人，弱电预算专业1人，采暖通风预算专业1人，消防预算专业1人（包括消防水和消防电），给排水预算专业1人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pPr>
              <w:widowControl/>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6</w:t>
            </w:r>
          </w:p>
        </w:tc>
        <w:tc>
          <w:tcPr>
            <w:tcW w:w="1383"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合同管理及资料员</w:t>
            </w:r>
          </w:p>
        </w:tc>
        <w:tc>
          <w:tcPr>
            <w:tcW w:w="3660" w:type="dxa"/>
            <w:noWrap w:val="0"/>
            <w:vAlign w:val="center"/>
          </w:tcPr>
          <w:p>
            <w:pPr>
              <w:rPr>
                <w:rFonts w:hint="eastAsia" w:hAnsi="宋体" w:cs="宋体"/>
                <w:color w:val="auto"/>
                <w:sz w:val="21"/>
                <w:szCs w:val="21"/>
                <w:highlight w:val="none"/>
              </w:rPr>
            </w:pPr>
            <w:r>
              <w:rPr>
                <w:rFonts w:hint="eastAsia" w:hAnsi="宋体" w:cs="宋体"/>
                <w:color w:val="auto"/>
                <w:sz w:val="21"/>
                <w:szCs w:val="21"/>
                <w:highlight w:val="none"/>
              </w:rPr>
              <w:t>①工程类专业大专及以上学历；</w:t>
            </w:r>
          </w:p>
          <w:p>
            <w:pPr>
              <w:spacing w:line="360" w:lineRule="exact"/>
              <w:rPr>
                <w:rFonts w:hint="eastAsia" w:hAnsi="宋体" w:cs="宋体"/>
                <w:color w:val="auto"/>
                <w:sz w:val="21"/>
                <w:szCs w:val="21"/>
                <w:highlight w:val="none"/>
              </w:rPr>
            </w:pPr>
            <w:r>
              <w:rPr>
                <w:rFonts w:hint="eastAsia" w:hAnsi="宋体" w:cs="宋体"/>
                <w:bCs/>
                <w:color w:val="auto"/>
                <w:sz w:val="21"/>
                <w:szCs w:val="21"/>
                <w:highlight w:val="none"/>
              </w:rPr>
              <w:t>②建设工程类</w:t>
            </w:r>
            <w:r>
              <w:rPr>
                <w:rFonts w:hint="eastAsia" w:hAnsi="宋体" w:cs="宋体"/>
                <w:color w:val="auto"/>
                <w:sz w:val="21"/>
                <w:szCs w:val="21"/>
                <w:highlight w:val="none"/>
              </w:rPr>
              <w:t>初级或以上技术职称。</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w:t>
            </w:r>
          </w:p>
        </w:tc>
        <w:tc>
          <w:tcPr>
            <w:tcW w:w="2132"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 xml:space="preserve">其中一人专职服务本项目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合计</w:t>
            </w:r>
          </w:p>
        </w:tc>
        <w:tc>
          <w:tcPr>
            <w:tcW w:w="765" w:type="dxa"/>
            <w:noWrap w:val="0"/>
            <w:vAlign w:val="center"/>
          </w:tcPr>
          <w:p>
            <w:pPr>
              <w:spacing w:line="360" w:lineRule="exact"/>
              <w:jc w:val="center"/>
              <w:rPr>
                <w:rFonts w:hint="eastAsia" w:hAnsi="宋体" w:cs="宋体"/>
                <w:color w:val="auto"/>
                <w:sz w:val="21"/>
                <w:szCs w:val="21"/>
                <w:highlight w:val="none"/>
              </w:rPr>
            </w:pPr>
            <w:r>
              <w:rPr>
                <w:rFonts w:hint="eastAsia" w:hAnsi="宋体" w:cs="宋体"/>
                <w:color w:val="auto"/>
                <w:sz w:val="21"/>
                <w:szCs w:val="21"/>
                <w:highlight w:val="none"/>
              </w:rPr>
              <w:t>18</w:t>
            </w:r>
          </w:p>
        </w:tc>
        <w:tc>
          <w:tcPr>
            <w:tcW w:w="2132" w:type="dxa"/>
            <w:noWrap w:val="0"/>
            <w:vAlign w:val="center"/>
          </w:tcPr>
          <w:p>
            <w:pPr>
              <w:spacing w:line="360" w:lineRule="exact"/>
              <w:jc w:val="center"/>
              <w:rPr>
                <w:rFonts w:hint="eastAsia" w:hAnsi="宋体" w:cs="宋体"/>
                <w:color w:val="auto"/>
                <w:sz w:val="21"/>
                <w:szCs w:val="21"/>
                <w:highlight w:val="none"/>
              </w:rPr>
            </w:pPr>
          </w:p>
        </w:tc>
      </w:tr>
    </w:tbl>
    <w:p>
      <w:pPr>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注：1、上表所列专业和人员基本要求是投标人通过符合性审查的最低要求且不得兼任，投标人必须满足，否则作废标处理（招标人可要求中标人根据工程进度计划时间无条件调整加派造价工程师（或一级造价工程师）或其他专业造价人员的人数，加派人员必须两个日历天到位）。</w:t>
      </w:r>
    </w:p>
    <w:p>
      <w:pPr>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相关人员资格证明材料为满足基本要求的相关证明资料，包括但不限于：注册造价工程师资格证复印件（如有）、造价师注册证书复印件（如有，二级造价工程师未注册的可提供相应的资格证书）复印件、专业技术职称资格证（如有）复印件、学历证复印件、社保证明复印件等。</w:t>
      </w:r>
    </w:p>
    <w:p>
      <w:pPr>
        <w:rPr>
          <w:rFonts w:hint="eastAsia"/>
          <w:color w:val="auto"/>
          <w:highlight w:val="none"/>
        </w:rPr>
      </w:pPr>
      <w:r>
        <w:rPr>
          <w:rFonts w:hint="eastAsia" w:hAnsi="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bookmarkStart w:id="51" w:name="_Toc15505"/>
    </w:p>
    <w:p>
      <w:pPr>
        <w:pStyle w:val="3"/>
        <w:keepNext/>
        <w:keepLines/>
        <w:pageBreakBefore/>
        <w:numPr>
          <w:ilvl w:val="0"/>
          <w:numId w:val="18"/>
        </w:numPr>
        <w:spacing w:line="360" w:lineRule="auto"/>
        <w:jc w:val="center"/>
        <w:rPr>
          <w:rFonts w:hint="eastAsia" w:hAnsi="宋体"/>
          <w:b/>
          <w:bCs/>
          <w:color w:val="auto"/>
          <w:kern w:val="44"/>
          <w:sz w:val="28"/>
          <w:szCs w:val="28"/>
          <w:highlight w:val="none"/>
          <w:lang w:val="zh-CN"/>
        </w:rPr>
      </w:pPr>
      <w:r>
        <w:rPr>
          <w:rFonts w:hint="eastAsia" w:hAnsi="宋体"/>
          <w:b/>
          <w:bCs/>
          <w:color w:val="auto"/>
          <w:kern w:val="44"/>
          <w:sz w:val="28"/>
          <w:szCs w:val="28"/>
          <w:highlight w:val="none"/>
        </w:rPr>
        <w:t xml:space="preserve"> </w:t>
      </w:r>
      <w:r>
        <w:rPr>
          <w:rFonts w:hint="eastAsia" w:hAnsi="宋体"/>
          <w:b/>
          <w:bCs/>
          <w:color w:val="auto"/>
          <w:kern w:val="44"/>
          <w:sz w:val="28"/>
          <w:szCs w:val="28"/>
          <w:highlight w:val="none"/>
          <w:lang w:val="zh-CN"/>
        </w:rPr>
        <w:t>评标工作大纲</w:t>
      </w:r>
      <w:bookmarkEnd w:id="51"/>
    </w:p>
    <w:p>
      <w:pPr>
        <w:tabs>
          <w:tab w:val="left" w:pos="1287"/>
        </w:tabs>
        <w:snapToGrid w:val="0"/>
        <w:spacing w:line="360" w:lineRule="auto"/>
        <w:ind w:left="-53" w:leftChars="-22" w:firstLine="51" w:firstLineChars="24"/>
        <w:outlineLvl w:val="1"/>
        <w:rPr>
          <w:rFonts w:hint="eastAsia" w:hAnsi="宋体"/>
          <w:b/>
          <w:color w:val="auto"/>
          <w:sz w:val="21"/>
          <w:szCs w:val="21"/>
          <w:highlight w:val="none"/>
        </w:rPr>
      </w:pPr>
      <w:bookmarkStart w:id="52" w:name="_Toc396137263"/>
      <w:bookmarkStart w:id="53" w:name="_Toc4823"/>
      <w:r>
        <w:rPr>
          <w:rFonts w:hint="eastAsia" w:hAnsi="宋体"/>
          <w:b/>
          <w:color w:val="auto"/>
          <w:sz w:val="21"/>
          <w:szCs w:val="21"/>
          <w:highlight w:val="none"/>
        </w:rPr>
        <w:t>一、评标原则和目的</w:t>
      </w:r>
      <w:bookmarkEnd w:id="52"/>
      <w:bookmarkEnd w:id="53"/>
    </w:p>
    <w:p>
      <w:pPr>
        <w:numPr>
          <w:ilvl w:val="0"/>
          <w:numId w:val="19"/>
        </w:numPr>
        <w:autoSpaceDE/>
        <w:autoSpaceDN/>
        <w:adjustRightInd/>
        <w:spacing w:line="360" w:lineRule="auto"/>
        <w:ind w:firstLineChars="200"/>
        <w:jc w:val="both"/>
        <w:rPr>
          <w:rFonts w:hint="eastAsia" w:hAnsi="宋体"/>
          <w:color w:val="auto"/>
          <w:sz w:val="21"/>
          <w:szCs w:val="21"/>
          <w:highlight w:val="none"/>
        </w:rPr>
      </w:pPr>
      <w:r>
        <w:rPr>
          <w:rFonts w:hint="eastAsia" w:hAnsi="宋体"/>
          <w:color w:val="auto"/>
          <w:sz w:val="21"/>
          <w:szCs w:val="21"/>
          <w:highlight w:val="none"/>
        </w:rPr>
        <w:t>评标遵循公平、公正、科学、择优的原则。评标按照招标文件规定的内容进行，采取综合评标办法，避免纯技术或纯经济的倾向。</w:t>
      </w:r>
    </w:p>
    <w:p>
      <w:pPr>
        <w:numPr>
          <w:ilvl w:val="0"/>
          <w:numId w:val="19"/>
        </w:numPr>
        <w:autoSpaceDE/>
        <w:autoSpaceDN/>
        <w:adjustRightInd/>
        <w:spacing w:line="360" w:lineRule="auto"/>
        <w:ind w:firstLineChars="200"/>
        <w:jc w:val="both"/>
        <w:rPr>
          <w:rFonts w:hint="eastAsia" w:hAnsi="宋体"/>
          <w:color w:val="auto"/>
          <w:szCs w:val="21"/>
          <w:highlight w:val="none"/>
        </w:rPr>
      </w:pPr>
      <w:r>
        <w:rPr>
          <w:rFonts w:hint="eastAsia" w:hAnsi="宋体"/>
          <w:color w:val="auto"/>
          <w:sz w:val="21"/>
          <w:szCs w:val="21"/>
          <w:highlight w:val="none"/>
        </w:rPr>
        <w:t>本办法的评标对象是指投标人按照招标文件要求提供的有效投标文件，包括投标人应评标委员会要求对原投标文件作出的正式书面澄清文件。</w:t>
      </w:r>
    </w:p>
    <w:p>
      <w:pPr>
        <w:tabs>
          <w:tab w:val="left" w:pos="1287"/>
        </w:tabs>
        <w:snapToGrid w:val="0"/>
        <w:spacing w:line="360" w:lineRule="auto"/>
        <w:ind w:left="-53" w:leftChars="-22" w:firstLine="51" w:firstLineChars="24"/>
        <w:outlineLvl w:val="1"/>
        <w:rPr>
          <w:rFonts w:hint="eastAsia" w:hAnsi="宋体"/>
          <w:b/>
          <w:color w:val="auto"/>
          <w:sz w:val="21"/>
          <w:szCs w:val="21"/>
          <w:highlight w:val="none"/>
        </w:rPr>
      </w:pPr>
      <w:bookmarkStart w:id="54" w:name="_Toc396137264"/>
      <w:bookmarkStart w:id="55" w:name="_Toc24134"/>
      <w:bookmarkStart w:id="56" w:name="_Toc31131"/>
      <w:bookmarkStart w:id="57" w:name="_Toc396137265"/>
      <w:r>
        <w:rPr>
          <w:rFonts w:hint="eastAsia" w:hAnsi="宋体"/>
          <w:b/>
          <w:color w:val="auto"/>
          <w:sz w:val="21"/>
          <w:szCs w:val="21"/>
          <w:highlight w:val="none"/>
        </w:rPr>
        <w:t>二、评标程序</w:t>
      </w:r>
      <w:bookmarkEnd w:id="54"/>
      <w:bookmarkEnd w:id="55"/>
      <w:bookmarkEnd w:id="56"/>
    </w:p>
    <w:p>
      <w:pPr>
        <w:tabs>
          <w:tab w:val="left" w:pos="984"/>
        </w:tabs>
        <w:snapToGrid w:val="0"/>
        <w:spacing w:line="360" w:lineRule="auto"/>
        <w:ind w:left="-171" w:hanging="9"/>
        <w:rPr>
          <w:rFonts w:hint="eastAsia" w:hAnsi="宋体"/>
          <w:b/>
          <w:bCs/>
          <w:color w:val="auto"/>
          <w:sz w:val="21"/>
          <w:szCs w:val="21"/>
          <w:highlight w:val="none"/>
        </w:rPr>
      </w:pPr>
      <w:r>
        <w:rPr>
          <w:rFonts w:hint="eastAsia" w:hAnsi="宋体"/>
          <w:b/>
          <w:bCs/>
          <w:color w:val="auto"/>
          <w:sz w:val="21"/>
          <w:szCs w:val="21"/>
          <w:highlight w:val="none"/>
        </w:rPr>
        <w:t>（一）对投标人的资格性检查</w:t>
      </w:r>
    </w:p>
    <w:p>
      <w:pPr>
        <w:tabs>
          <w:tab w:val="left" w:pos="984"/>
        </w:tabs>
        <w:snapToGrid w:val="0"/>
        <w:spacing w:line="360" w:lineRule="auto"/>
        <w:ind w:left="-171" w:hanging="9"/>
        <w:rPr>
          <w:rFonts w:hint="eastAsia" w:hAnsi="宋体"/>
          <w:color w:val="auto"/>
          <w:sz w:val="21"/>
          <w:szCs w:val="21"/>
          <w:highlight w:val="none"/>
        </w:rPr>
      </w:pPr>
      <w:r>
        <w:rPr>
          <w:rFonts w:hint="eastAsia" w:hAnsi="宋体"/>
          <w:color w:val="auto"/>
          <w:sz w:val="21"/>
          <w:szCs w:val="21"/>
          <w:highlight w:val="none"/>
        </w:rPr>
        <w:t xml:space="preserve">      公开招标项目开标结束后，招标人或者招标代理机构按《资格性审查表》将依法对投标人的资格进行审查。</w:t>
      </w:r>
      <w:r>
        <w:rPr>
          <w:rFonts w:hint="eastAsia" w:hAnsi="宋体" w:cs="宋体"/>
          <w:color w:val="auto"/>
          <w:sz w:val="21"/>
          <w:szCs w:val="21"/>
          <w:highlight w:val="none"/>
        </w:rPr>
        <w:t>投标人必须严格按照《资格性审查表》的评审内容的要求如实提供证明材料并应加盖投标人公章，对缺漏或不符合项将直接导致无效投标</w:t>
      </w:r>
      <w:r>
        <w:rPr>
          <w:rFonts w:hint="eastAsia" w:hAnsi="宋体" w:cs="宋体"/>
          <w:color w:val="auto"/>
          <w:highlight w:val="none"/>
        </w:rPr>
        <w:t>。</w:t>
      </w:r>
      <w:r>
        <w:rPr>
          <w:rFonts w:hint="eastAsia" w:hAnsi="宋体"/>
          <w:color w:val="auto"/>
          <w:sz w:val="21"/>
          <w:szCs w:val="21"/>
          <w:highlight w:val="none"/>
        </w:rPr>
        <w:t>合格投标人不足3家的，不得评标。未通过资格审查的投标人不进入评标阶段的评审。</w:t>
      </w:r>
    </w:p>
    <w:p>
      <w:pPr>
        <w:jc w:val="center"/>
        <w:rPr>
          <w:rFonts w:hint="eastAsia" w:hAnsi="宋体" w:cs="宋体"/>
          <w:color w:val="auto"/>
          <w:sz w:val="21"/>
          <w:szCs w:val="21"/>
          <w:highlight w:val="none"/>
        </w:rPr>
      </w:pPr>
      <w:r>
        <w:rPr>
          <w:rFonts w:hint="eastAsia" w:hAnsi="宋体" w:cs="宋体"/>
          <w:color w:val="auto"/>
          <w:sz w:val="21"/>
          <w:szCs w:val="21"/>
          <w:highlight w:val="none"/>
        </w:rPr>
        <w:t>《资格性审查表》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6" w:type="dxa"/>
            <w:noWrap w:val="0"/>
            <w:vAlign w:val="center"/>
          </w:tcPr>
          <w:p>
            <w:pPr>
              <w:jc w:val="center"/>
              <w:rPr>
                <w:rFonts w:hint="eastAsia" w:hAnsi="宋体" w:cs="宋体"/>
                <w:b/>
                <w:color w:val="auto"/>
                <w:sz w:val="21"/>
                <w:szCs w:val="21"/>
                <w:highlight w:val="none"/>
              </w:rPr>
            </w:pPr>
            <w:r>
              <w:rPr>
                <w:rFonts w:hint="eastAsia" w:hAnsi="宋体" w:cs="宋体"/>
                <w:b/>
                <w:color w:val="auto"/>
                <w:sz w:val="21"/>
                <w:szCs w:val="21"/>
                <w:highlight w:val="none"/>
              </w:rPr>
              <w:t>序号</w:t>
            </w:r>
          </w:p>
        </w:tc>
        <w:tc>
          <w:tcPr>
            <w:tcW w:w="8528" w:type="dxa"/>
            <w:noWrap w:val="0"/>
            <w:vAlign w:val="center"/>
          </w:tcPr>
          <w:p>
            <w:pPr>
              <w:jc w:val="center"/>
              <w:rPr>
                <w:rFonts w:hint="eastAsia" w:hAnsi="宋体" w:cs="宋体"/>
                <w:b/>
                <w:color w:val="auto"/>
                <w:sz w:val="21"/>
                <w:szCs w:val="21"/>
                <w:highlight w:val="none"/>
              </w:rPr>
            </w:pPr>
            <w:r>
              <w:rPr>
                <w:rFonts w:hint="eastAsia" w:hAnsi="宋体" w:cs="宋体"/>
                <w:b/>
                <w:color w:val="auto"/>
                <w:sz w:val="21"/>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6" w:type="dxa"/>
            <w:noWrap w:val="0"/>
            <w:vAlign w:val="center"/>
          </w:tcPr>
          <w:p>
            <w:pPr>
              <w:numPr>
                <w:ilvl w:val="0"/>
                <w:numId w:val="20"/>
              </w:numPr>
              <w:tabs>
                <w:tab w:val="left" w:pos="176"/>
                <w:tab w:val="left" w:pos="612"/>
              </w:tabs>
              <w:jc w:val="center"/>
              <w:rPr>
                <w:rFonts w:hint="eastAsia" w:hAnsi="宋体" w:cs="宋体"/>
                <w:color w:val="auto"/>
                <w:sz w:val="21"/>
                <w:szCs w:val="21"/>
                <w:highlight w:val="none"/>
              </w:rPr>
            </w:pPr>
          </w:p>
        </w:tc>
        <w:tc>
          <w:tcPr>
            <w:tcW w:w="8528" w:type="dxa"/>
            <w:noWrap w:val="0"/>
            <w:vAlign w:val="center"/>
          </w:tcPr>
          <w:p>
            <w:pPr>
              <w:tabs>
                <w:tab w:val="left" w:pos="612"/>
              </w:tabs>
              <w:rPr>
                <w:rFonts w:hint="eastAsia" w:hAnsi="宋体" w:cs="宋体"/>
                <w:color w:val="auto"/>
                <w:sz w:val="21"/>
                <w:szCs w:val="21"/>
                <w:highlight w:val="none"/>
              </w:rPr>
            </w:pPr>
            <w:r>
              <w:rPr>
                <w:rFonts w:hint="eastAsia" w:hAnsi="宋体" w:cs="宋体"/>
                <w:color w:val="auto"/>
                <w:sz w:val="21"/>
                <w:szCs w:val="21"/>
                <w:highlight w:val="none"/>
              </w:rPr>
              <w:t>投标人资格声明书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6" w:type="dxa"/>
            <w:noWrap w:val="0"/>
            <w:vAlign w:val="center"/>
          </w:tcPr>
          <w:p>
            <w:pPr>
              <w:numPr>
                <w:ilvl w:val="0"/>
                <w:numId w:val="20"/>
              </w:numPr>
              <w:tabs>
                <w:tab w:val="left" w:pos="176"/>
                <w:tab w:val="left" w:pos="612"/>
              </w:tabs>
              <w:jc w:val="center"/>
              <w:rPr>
                <w:rFonts w:hint="eastAsia" w:hAnsi="宋体" w:cs="宋体"/>
                <w:color w:val="auto"/>
                <w:sz w:val="21"/>
                <w:szCs w:val="21"/>
                <w:highlight w:val="none"/>
              </w:rPr>
            </w:pPr>
          </w:p>
        </w:tc>
        <w:tc>
          <w:tcPr>
            <w:tcW w:w="8528" w:type="dxa"/>
            <w:noWrap w:val="0"/>
            <w:vAlign w:val="center"/>
          </w:tcPr>
          <w:p>
            <w:pPr>
              <w:tabs>
                <w:tab w:val="left" w:pos="612"/>
              </w:tabs>
              <w:rPr>
                <w:rFonts w:hint="eastAsia" w:hAnsi="宋体" w:cs="宋体"/>
                <w:color w:val="auto"/>
                <w:sz w:val="21"/>
                <w:szCs w:val="21"/>
                <w:highlight w:val="none"/>
              </w:rPr>
            </w:pPr>
            <w:r>
              <w:rPr>
                <w:rFonts w:hint="eastAsia" w:hAnsi="宋体" w:cs="宋体"/>
                <w:color w:val="auto"/>
                <w:sz w:val="21"/>
                <w:szCs w:val="21"/>
                <w:highlight w:val="none"/>
              </w:rPr>
              <w:t>附件一：符合“合格的投标人”要求中的其他证明文件</w:t>
            </w:r>
          </w:p>
        </w:tc>
      </w:tr>
    </w:tbl>
    <w:p>
      <w:pPr>
        <w:pStyle w:val="45"/>
        <w:widowControl w:val="0"/>
        <w:numPr>
          <w:ilvl w:val="0"/>
          <w:numId w:val="21"/>
        </w:numPr>
        <w:spacing w:before="0" w:beforeAutospacing="0" w:after="0" w:afterAutospacing="0" w:line="360" w:lineRule="auto"/>
        <w:ind w:left="-25" w:leftChars="-85" w:hanging="179" w:hangingChars="85"/>
        <w:rPr>
          <w:rFonts w:hint="eastAsia"/>
          <w:b/>
          <w:bCs/>
          <w:color w:val="auto"/>
          <w:kern w:val="2"/>
          <w:sz w:val="21"/>
          <w:szCs w:val="21"/>
          <w:highlight w:val="none"/>
        </w:rPr>
      </w:pPr>
      <w:r>
        <w:rPr>
          <w:rFonts w:hint="eastAsia"/>
          <w:b/>
          <w:bCs/>
          <w:color w:val="auto"/>
          <w:kern w:val="2"/>
          <w:sz w:val="21"/>
          <w:szCs w:val="21"/>
          <w:highlight w:val="none"/>
        </w:rPr>
        <w:t>对投标人的符合性检查</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评标委员会将对符合资格的投标人的投标文件按《符合性审查表》进行符合性审查，以确定其是否满足招标文件的实质性要求。投标人必须严格按照《符合性审查表》的评审内容的要求如实提供证明材料并应加盖投标人公章，对缺漏或不符合项将直接导致无效投标。</w:t>
      </w:r>
    </w:p>
    <w:p>
      <w:pPr>
        <w:jc w:val="center"/>
        <w:rPr>
          <w:rFonts w:hint="eastAsia" w:hAnsi="宋体" w:cs="宋体"/>
          <w:color w:val="auto"/>
          <w:sz w:val="21"/>
          <w:szCs w:val="21"/>
          <w:highlight w:val="none"/>
        </w:rPr>
      </w:pPr>
      <w:r>
        <w:rPr>
          <w:rFonts w:hint="eastAsia" w:hAnsi="宋体" w:cs="宋体"/>
          <w:color w:val="auto"/>
          <w:sz w:val="21"/>
          <w:szCs w:val="21"/>
          <w:highlight w:val="none"/>
        </w:rPr>
        <w:t>《符合性审查表》</w:t>
      </w:r>
    </w:p>
    <w:tbl>
      <w:tblPr>
        <w:tblStyle w:val="49"/>
        <w:tblW w:w="0" w:type="auto"/>
        <w:jc w:val="center"/>
        <w:tblLayout w:type="fixed"/>
        <w:tblCellMar>
          <w:top w:w="15" w:type="dxa"/>
          <w:left w:w="15" w:type="dxa"/>
          <w:bottom w:w="15" w:type="dxa"/>
          <w:right w:w="15" w:type="dxa"/>
        </w:tblCellMar>
      </w:tblPr>
      <w:tblGrid>
        <w:gridCol w:w="500"/>
        <w:gridCol w:w="8813"/>
      </w:tblGrid>
      <w:tr>
        <w:tblPrEx>
          <w:tblCellMar>
            <w:top w:w="15" w:type="dxa"/>
            <w:left w:w="15" w:type="dxa"/>
            <w:bottom w:w="15" w:type="dxa"/>
            <w:right w:w="15" w:type="dxa"/>
          </w:tblCellMar>
        </w:tblPrEx>
        <w:trPr>
          <w:trHeight w:val="425"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rPr>
              <w:t>序号</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rPr>
              <w:t>评 审 内 容</w:t>
            </w:r>
          </w:p>
        </w:tc>
      </w:tr>
      <w:tr>
        <w:tblPrEx>
          <w:tblCellMar>
            <w:top w:w="15" w:type="dxa"/>
            <w:left w:w="15" w:type="dxa"/>
            <w:bottom w:w="15" w:type="dxa"/>
            <w:right w:w="15" w:type="dxa"/>
          </w:tblCellMar>
        </w:tblPrEx>
        <w:trPr>
          <w:trHeight w:val="370"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lang w:bidi="ar"/>
              </w:rPr>
            </w:pPr>
            <w:r>
              <w:rPr>
                <w:rFonts w:hint="eastAsia" w:hAnsi="宋体" w:cs="宋体"/>
                <w:bCs/>
                <w:color w:val="auto"/>
                <w:sz w:val="21"/>
                <w:szCs w:val="21"/>
                <w:highlight w:val="none"/>
                <w:lang w:bidi="ar"/>
              </w:rPr>
              <w:t>1</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lang w:bidi="ar"/>
              </w:rPr>
            </w:pPr>
            <w:r>
              <w:rPr>
                <w:rFonts w:hint="eastAsia" w:hAnsi="宋体" w:cs="宋体"/>
                <w:bCs/>
                <w:color w:val="auto"/>
                <w:sz w:val="21"/>
                <w:szCs w:val="21"/>
                <w:highlight w:val="none"/>
                <w:lang w:bidi="ar"/>
              </w:rPr>
              <w:t>按照招标文件的规定提交投标保证金的</w:t>
            </w:r>
          </w:p>
        </w:tc>
      </w:tr>
      <w:tr>
        <w:tblPrEx>
          <w:tblCellMar>
            <w:top w:w="15" w:type="dxa"/>
            <w:left w:w="15" w:type="dxa"/>
            <w:bottom w:w="15" w:type="dxa"/>
            <w:right w:w="15" w:type="dxa"/>
          </w:tblCellMar>
        </w:tblPrEx>
        <w:trPr>
          <w:trHeight w:val="353"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2</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投标文件按招标文件要求签署、盖章的</w:t>
            </w:r>
          </w:p>
        </w:tc>
      </w:tr>
      <w:tr>
        <w:tblPrEx>
          <w:tblCellMar>
            <w:top w:w="15" w:type="dxa"/>
            <w:left w:w="15" w:type="dxa"/>
            <w:bottom w:w="15" w:type="dxa"/>
            <w:right w:w="15" w:type="dxa"/>
          </w:tblCellMar>
        </w:tblPrEx>
        <w:trPr>
          <w:trHeight w:val="387"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3</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报价未超过招标文件中规定的预算金额或者最高限价的</w:t>
            </w:r>
          </w:p>
        </w:tc>
      </w:tr>
      <w:tr>
        <w:tblPrEx>
          <w:tblCellMar>
            <w:top w:w="15" w:type="dxa"/>
            <w:left w:w="15" w:type="dxa"/>
            <w:bottom w:w="15" w:type="dxa"/>
            <w:right w:w="15" w:type="dxa"/>
          </w:tblCellMar>
        </w:tblPrEx>
        <w:trPr>
          <w:trHeight w:val="387"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lang w:bidi="ar"/>
              </w:rPr>
            </w:pPr>
            <w:r>
              <w:rPr>
                <w:rFonts w:hint="eastAsia" w:hAnsi="宋体" w:cs="宋体"/>
                <w:bCs/>
                <w:color w:val="auto"/>
                <w:sz w:val="21"/>
                <w:szCs w:val="21"/>
                <w:highlight w:val="none"/>
                <w:lang w:bidi="ar"/>
              </w:rPr>
              <w:t>4</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lang w:bidi="ar"/>
              </w:rPr>
            </w:pPr>
            <w:r>
              <w:rPr>
                <w:rFonts w:hint="eastAsia" w:hAnsi="宋体" w:cs="宋体"/>
                <w:bCs/>
                <w:color w:val="auto"/>
                <w:sz w:val="21"/>
                <w:szCs w:val="21"/>
                <w:highlight w:val="none"/>
                <w:lang w:bidi="ar"/>
              </w:rPr>
              <w:t>投标文件未含有招标人不能接受的附加条件的</w:t>
            </w:r>
          </w:p>
        </w:tc>
      </w:tr>
      <w:tr>
        <w:tblPrEx>
          <w:tblCellMar>
            <w:top w:w="15" w:type="dxa"/>
            <w:left w:w="15" w:type="dxa"/>
            <w:bottom w:w="15" w:type="dxa"/>
            <w:right w:w="15" w:type="dxa"/>
          </w:tblCellMar>
        </w:tblPrEx>
        <w:trPr>
          <w:trHeight w:val="353"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5</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rPr>
            </w:pPr>
            <w:r>
              <w:rPr>
                <w:rFonts w:hint="eastAsia" w:hAnsi="宋体" w:cs="宋体"/>
                <w:bCs/>
                <w:color w:val="auto"/>
                <w:sz w:val="21"/>
                <w:szCs w:val="21"/>
                <w:highlight w:val="none"/>
                <w:lang w:bidi="ar"/>
              </w:rPr>
              <w:t>无负偏离标注“★”符号的条款。</w:t>
            </w:r>
          </w:p>
        </w:tc>
      </w:tr>
      <w:tr>
        <w:tblPrEx>
          <w:tblCellMar>
            <w:top w:w="15" w:type="dxa"/>
            <w:left w:w="15" w:type="dxa"/>
            <w:bottom w:w="15" w:type="dxa"/>
            <w:right w:w="15" w:type="dxa"/>
          </w:tblCellMar>
        </w:tblPrEx>
        <w:trPr>
          <w:trHeight w:val="353" w:hRule="exact"/>
          <w:jc w:val="center"/>
        </w:trPr>
        <w:tc>
          <w:tcPr>
            <w:tcW w:w="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hAnsi="宋体" w:cs="宋体"/>
                <w:bCs/>
                <w:color w:val="auto"/>
                <w:sz w:val="21"/>
                <w:szCs w:val="21"/>
                <w:highlight w:val="none"/>
              </w:rPr>
            </w:pPr>
            <w:r>
              <w:rPr>
                <w:rFonts w:hint="eastAsia" w:hAnsi="宋体" w:cs="宋体"/>
                <w:bCs/>
                <w:color w:val="auto"/>
                <w:sz w:val="21"/>
                <w:szCs w:val="21"/>
                <w:highlight w:val="none"/>
              </w:rPr>
              <w:t>6</w:t>
            </w:r>
          </w:p>
        </w:tc>
        <w:tc>
          <w:tcPr>
            <w:tcW w:w="881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hAnsi="宋体" w:cs="宋体"/>
                <w:bCs/>
                <w:color w:val="auto"/>
                <w:sz w:val="21"/>
                <w:szCs w:val="21"/>
                <w:highlight w:val="none"/>
                <w:lang w:bidi="ar"/>
              </w:rPr>
            </w:pPr>
            <w:r>
              <w:rPr>
                <w:rFonts w:hint="eastAsia" w:hAnsi="宋体" w:cs="宋体"/>
                <w:color w:val="auto"/>
                <w:sz w:val="21"/>
                <w:szCs w:val="21"/>
                <w:highlight w:val="none"/>
              </w:rPr>
              <w:t>未出现</w:t>
            </w:r>
            <w:r>
              <w:rPr>
                <w:rFonts w:hint="eastAsia" w:hAnsi="宋体" w:cs="宋体"/>
                <w:bCs/>
                <w:color w:val="auto"/>
                <w:sz w:val="21"/>
                <w:szCs w:val="21"/>
                <w:highlight w:val="none"/>
                <w:lang w:bidi="ar"/>
              </w:rPr>
              <w:t>法律、法规和招标文件规定的其他无效情形。</w:t>
            </w:r>
          </w:p>
        </w:tc>
      </w:tr>
    </w:tbl>
    <w:p>
      <w:pPr>
        <w:pStyle w:val="45"/>
        <w:widowControl w:val="0"/>
        <w:spacing w:before="0" w:beforeAutospacing="0" w:after="0" w:afterAutospacing="0" w:line="360" w:lineRule="auto"/>
        <w:ind w:left="515" w:leftChars="-85" w:hanging="719" w:hangingChars="341"/>
        <w:rPr>
          <w:rFonts w:hint="eastAsia"/>
          <w:b/>
          <w:bCs/>
          <w:color w:val="auto"/>
          <w:sz w:val="21"/>
          <w:szCs w:val="21"/>
          <w:highlight w:val="none"/>
        </w:rPr>
      </w:pPr>
      <w:r>
        <w:rPr>
          <w:rFonts w:hint="eastAsia"/>
          <w:b/>
          <w:bCs/>
          <w:color w:val="auto"/>
          <w:sz w:val="21"/>
          <w:szCs w:val="21"/>
          <w:highlight w:val="none"/>
        </w:rPr>
        <w:t>（三）以上资格性检查、符合性检查中带有不合格分项的投标文件，将作无效标处理。经评标委员会确认的无效投标文件，招标人和招标代理机构将予以拒绝，并且不允许通过修正或撤消其不符合要求的差异，使之成为具有符合性的投标文件。</w:t>
      </w:r>
    </w:p>
    <w:p>
      <w:pPr>
        <w:pStyle w:val="45"/>
        <w:widowControl w:val="0"/>
        <w:spacing w:before="0" w:beforeAutospacing="0" w:after="0" w:afterAutospacing="0" w:line="360" w:lineRule="auto"/>
        <w:ind w:left="386" w:leftChars="-85" w:hanging="590" w:hangingChars="280"/>
        <w:rPr>
          <w:rFonts w:hint="eastAsia"/>
          <w:b/>
          <w:bCs/>
          <w:color w:val="auto"/>
          <w:sz w:val="21"/>
          <w:szCs w:val="21"/>
          <w:highlight w:val="none"/>
        </w:rPr>
      </w:pPr>
      <w:r>
        <w:rPr>
          <w:rFonts w:hint="eastAsia"/>
          <w:b/>
          <w:bCs/>
          <w:color w:val="auto"/>
          <w:sz w:val="21"/>
          <w:szCs w:val="21"/>
          <w:highlight w:val="none"/>
        </w:rPr>
        <w:t>（四）经评标委员会符合性审查确认具有有效投标文件的投标人不足三家时将重新组织招标。</w:t>
      </w:r>
    </w:p>
    <w:p>
      <w:pPr>
        <w:pStyle w:val="45"/>
        <w:widowControl w:val="0"/>
        <w:spacing w:before="0" w:beforeAutospacing="0" w:after="0" w:afterAutospacing="0" w:line="360" w:lineRule="auto"/>
        <w:ind w:left="-25" w:leftChars="-85" w:hanging="179" w:hangingChars="85"/>
        <w:rPr>
          <w:rFonts w:hint="eastAsia"/>
          <w:b/>
          <w:bCs/>
          <w:color w:val="auto"/>
          <w:sz w:val="21"/>
          <w:szCs w:val="21"/>
          <w:highlight w:val="none"/>
        </w:rPr>
      </w:pPr>
      <w:r>
        <w:rPr>
          <w:rFonts w:hint="eastAsia"/>
          <w:b/>
          <w:bCs/>
          <w:color w:val="auto"/>
          <w:sz w:val="21"/>
          <w:szCs w:val="21"/>
          <w:highlight w:val="none"/>
        </w:rPr>
        <w:t>（五）投标文件的澄清及细微偏差修正</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1、对于投标文件中含义不明确、同类问题表述不一致或者有明显文字和计算错误的内容，评标委员会可以书面形式要求投标人作出必要的澄清、说明或者补正。</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2、投标人的澄清、说明或者补正应当采用书面形式，并加盖公章，或者由法定代表人或其授权的代表签字。投标人的澄清、说明或者补正不得超出投标文件的范围或者改变投标文件的实质性内容。</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3、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4、投标文件报价出现前后不一致的，按照下列规定修正：</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(1)投标文件中开标一览表内容与投标文件中相应内容不一致的，以开标一览表为准；</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(2)大写金额和小写金额不一致的，以大写金额为准；</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(3)单价金额小数点或者百分比有明显错位的，以开标一览表的总价为准，并修改单价；</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(4)总价金额与按单价汇总金额不一致的，以单价金额计算结果为准。</w:t>
      </w:r>
    </w:p>
    <w:p>
      <w:pPr>
        <w:pStyle w:val="45"/>
        <w:widowControl w:val="0"/>
        <w:spacing w:before="0" w:beforeAutospacing="0" w:after="0" w:afterAutospacing="0" w:line="360" w:lineRule="auto"/>
        <w:ind w:left="795" w:leftChars="200" w:hanging="315" w:hangingChars="150"/>
        <w:rPr>
          <w:rFonts w:hint="eastAsia"/>
          <w:color w:val="auto"/>
          <w:sz w:val="21"/>
          <w:szCs w:val="21"/>
          <w:highlight w:val="none"/>
        </w:rPr>
      </w:pPr>
      <w:r>
        <w:rPr>
          <w:rFonts w:hint="eastAsia"/>
          <w:color w:val="auto"/>
          <w:sz w:val="21"/>
          <w:szCs w:val="21"/>
          <w:highlight w:val="none"/>
        </w:rPr>
        <w:t>(5)同时出现两种以上不一致的，按照前款规定的顺序修正。对不同文字文本投标文件的解释发生异议的，以中文文本为准。如果投标人不接受对其错误的更正，其投标将被视为无效投标。</w:t>
      </w:r>
    </w:p>
    <w:p>
      <w:pPr>
        <w:pStyle w:val="45"/>
        <w:widowControl w:val="0"/>
        <w:spacing w:before="0" w:beforeAutospacing="0" w:after="0" w:afterAutospacing="0" w:line="360" w:lineRule="auto"/>
        <w:ind w:left="-25" w:leftChars="-85" w:hanging="179" w:hangingChars="85"/>
        <w:rPr>
          <w:rFonts w:hint="eastAsia"/>
          <w:b/>
          <w:bCs/>
          <w:color w:val="auto"/>
          <w:sz w:val="21"/>
          <w:szCs w:val="21"/>
          <w:highlight w:val="none"/>
        </w:rPr>
      </w:pPr>
      <w:r>
        <w:rPr>
          <w:rFonts w:hint="eastAsia"/>
          <w:b/>
          <w:bCs/>
          <w:color w:val="auto"/>
          <w:sz w:val="21"/>
          <w:szCs w:val="21"/>
          <w:highlight w:val="none"/>
        </w:rPr>
        <w:t>（六）投标文件的比较与评价。</w:t>
      </w:r>
    </w:p>
    <w:p>
      <w:pPr>
        <w:pStyle w:val="45"/>
        <w:widowControl w:val="0"/>
        <w:numPr>
          <w:ilvl w:val="0"/>
          <w:numId w:val="22"/>
        </w:numPr>
        <w:spacing w:before="0" w:beforeAutospacing="0" w:after="0" w:afterAutospacing="0" w:line="360" w:lineRule="auto"/>
        <w:ind w:left="480" w:leftChars="200"/>
        <w:rPr>
          <w:rFonts w:hint="eastAsia"/>
          <w:color w:val="auto"/>
          <w:sz w:val="21"/>
          <w:szCs w:val="21"/>
          <w:highlight w:val="none"/>
        </w:rPr>
      </w:pPr>
      <w:r>
        <w:rPr>
          <w:rFonts w:hint="eastAsia"/>
          <w:color w:val="auto"/>
          <w:sz w:val="21"/>
          <w:szCs w:val="21"/>
          <w:highlight w:val="none"/>
        </w:rPr>
        <w:t>评标委员会应当按照招标文件中规定的评标方法和标准，对符合性审查合格的投标文件进行商务、技术和价格的评估，综合比较与评价。</w:t>
      </w:r>
    </w:p>
    <w:p>
      <w:pPr>
        <w:pStyle w:val="45"/>
        <w:widowControl w:val="0"/>
        <w:numPr>
          <w:ilvl w:val="0"/>
          <w:numId w:val="22"/>
        </w:numPr>
        <w:spacing w:before="0" w:beforeAutospacing="0" w:after="0" w:afterAutospacing="0" w:line="360" w:lineRule="auto"/>
        <w:ind w:left="480" w:leftChars="200"/>
        <w:rPr>
          <w:rFonts w:hint="eastAsia"/>
          <w:color w:val="auto"/>
          <w:sz w:val="21"/>
          <w:szCs w:val="21"/>
          <w:highlight w:val="none"/>
        </w:rPr>
      </w:pPr>
      <w:r>
        <w:rPr>
          <w:rFonts w:hint="eastAsia"/>
          <w:color w:val="auto"/>
          <w:sz w:val="21"/>
          <w:szCs w:val="21"/>
          <w:highlight w:val="none"/>
        </w:rPr>
        <w:t>商务评价:评标委员会对投标人的商务状况及响应程度进行评议和比较,并依据评分标准,评出其商务评分。</w:t>
      </w:r>
    </w:p>
    <w:p>
      <w:pPr>
        <w:pStyle w:val="45"/>
        <w:widowControl w:val="0"/>
        <w:numPr>
          <w:ilvl w:val="0"/>
          <w:numId w:val="22"/>
        </w:numPr>
        <w:spacing w:before="0" w:beforeAutospacing="0" w:after="0" w:afterAutospacing="0" w:line="360" w:lineRule="auto"/>
        <w:ind w:left="480" w:leftChars="200"/>
        <w:rPr>
          <w:rFonts w:hint="eastAsia"/>
          <w:color w:val="auto"/>
          <w:sz w:val="21"/>
          <w:szCs w:val="21"/>
          <w:highlight w:val="none"/>
        </w:rPr>
      </w:pPr>
      <w:r>
        <w:rPr>
          <w:rFonts w:hint="eastAsia"/>
          <w:color w:val="auto"/>
          <w:sz w:val="21"/>
          <w:szCs w:val="21"/>
          <w:highlight w:val="none"/>
        </w:rPr>
        <w:t>技术评价:评标委员会对投标人的技术状况及响应程度进行评议和比较,并依据评分标准,评出其技术评分。</w:t>
      </w:r>
    </w:p>
    <w:p>
      <w:pPr>
        <w:pStyle w:val="45"/>
        <w:widowControl w:val="0"/>
        <w:numPr>
          <w:ilvl w:val="0"/>
          <w:numId w:val="22"/>
        </w:numPr>
        <w:spacing w:before="0" w:beforeAutospacing="0" w:after="0" w:afterAutospacing="0" w:line="360" w:lineRule="auto"/>
        <w:ind w:left="480" w:leftChars="200"/>
        <w:rPr>
          <w:rFonts w:hint="eastAsia"/>
          <w:color w:val="auto"/>
          <w:sz w:val="21"/>
          <w:szCs w:val="21"/>
          <w:highlight w:val="none"/>
        </w:rPr>
      </w:pPr>
      <w:r>
        <w:rPr>
          <w:rFonts w:hint="eastAsia"/>
          <w:color w:val="auto"/>
          <w:sz w:val="21"/>
          <w:szCs w:val="21"/>
          <w:highlight w:val="none"/>
        </w:rPr>
        <w:t>价格评估:综合评分法中的价格分统一采用低价优先法计算，即满足招标文件要求且投标价格最低的投标报价为评标基准价，其价格分为满分，各投标人的价格评分统一按照下列公式计算：</w:t>
      </w:r>
    </w:p>
    <w:p>
      <w:pPr>
        <w:pStyle w:val="45"/>
        <w:widowControl w:val="0"/>
        <w:spacing w:before="0" w:beforeAutospacing="0" w:after="0" w:afterAutospacing="0" w:line="360" w:lineRule="auto"/>
        <w:ind w:left="1275" w:leftChars="400" w:hanging="315" w:hangingChars="150"/>
        <w:rPr>
          <w:rFonts w:hint="eastAsia"/>
          <w:color w:val="auto"/>
          <w:sz w:val="21"/>
          <w:szCs w:val="21"/>
          <w:highlight w:val="none"/>
        </w:rPr>
      </w:pPr>
      <w:r>
        <w:rPr>
          <w:rFonts w:hint="eastAsia"/>
          <w:color w:val="auto"/>
          <w:sz w:val="21"/>
          <w:szCs w:val="21"/>
          <w:highlight w:val="none"/>
        </w:rPr>
        <w:t>价格得分＝（评标基准价/评标价）×价格分值</w:t>
      </w:r>
    </w:p>
    <w:p>
      <w:pPr>
        <w:pStyle w:val="45"/>
        <w:widowControl w:val="0"/>
        <w:spacing w:before="0" w:beforeAutospacing="0" w:after="0" w:afterAutospacing="0" w:line="360" w:lineRule="auto"/>
        <w:ind w:left="1275" w:leftChars="400" w:hanging="315" w:hangingChars="150"/>
        <w:rPr>
          <w:rFonts w:hint="eastAsia"/>
          <w:color w:val="auto"/>
          <w:sz w:val="21"/>
          <w:szCs w:val="21"/>
          <w:highlight w:val="none"/>
        </w:rPr>
      </w:pPr>
      <w:r>
        <w:rPr>
          <w:rFonts w:hint="eastAsia"/>
          <w:color w:val="auto"/>
          <w:sz w:val="21"/>
          <w:szCs w:val="21"/>
          <w:highlight w:val="none"/>
        </w:rPr>
        <w:t>评标价：按招标文件规定条款的原则校核修正后的价格；</w:t>
      </w:r>
    </w:p>
    <w:p>
      <w:pPr>
        <w:pStyle w:val="45"/>
        <w:widowControl w:val="0"/>
        <w:spacing w:before="0" w:beforeAutospacing="0" w:after="0" w:afterAutospacing="0" w:line="360" w:lineRule="auto"/>
        <w:ind w:left="1275" w:leftChars="400" w:hanging="315" w:hangingChars="150"/>
        <w:rPr>
          <w:rFonts w:hint="eastAsia"/>
          <w:color w:val="auto"/>
          <w:sz w:val="21"/>
          <w:szCs w:val="21"/>
          <w:highlight w:val="none"/>
        </w:rPr>
      </w:pPr>
      <w:r>
        <w:rPr>
          <w:rFonts w:hint="eastAsia"/>
          <w:color w:val="auto"/>
          <w:sz w:val="21"/>
          <w:szCs w:val="21"/>
          <w:highlight w:val="none"/>
        </w:rPr>
        <w:t>评标基准价：各有效投标人的最低评标价。</w:t>
      </w:r>
    </w:p>
    <w:p>
      <w:pPr>
        <w:pStyle w:val="45"/>
        <w:widowControl w:val="0"/>
        <w:spacing w:before="0" w:beforeAutospacing="0" w:after="0" w:afterAutospacing="0" w:line="360" w:lineRule="auto"/>
        <w:ind w:left="1275" w:leftChars="400" w:hanging="315" w:hangingChars="150"/>
        <w:rPr>
          <w:rFonts w:hint="eastAsia"/>
          <w:color w:val="auto"/>
          <w:sz w:val="21"/>
          <w:szCs w:val="21"/>
          <w:highlight w:val="none"/>
        </w:rPr>
      </w:pPr>
      <w:r>
        <w:rPr>
          <w:rFonts w:hint="eastAsia"/>
          <w:color w:val="auto"/>
          <w:sz w:val="21"/>
          <w:szCs w:val="21"/>
          <w:highlight w:val="none"/>
        </w:rPr>
        <w:t>评标过程中，不得去掉报价中的最高报价和最低报价。</w:t>
      </w:r>
    </w:p>
    <w:p>
      <w:pPr>
        <w:pStyle w:val="45"/>
        <w:widowControl w:val="0"/>
        <w:spacing w:before="0" w:beforeAutospacing="0" w:after="0" w:afterAutospacing="0" w:line="360" w:lineRule="auto"/>
        <w:ind w:left="1275" w:leftChars="400" w:hanging="315" w:hangingChars="150"/>
        <w:rPr>
          <w:rFonts w:hint="eastAsia"/>
          <w:color w:val="auto"/>
          <w:sz w:val="21"/>
          <w:szCs w:val="21"/>
          <w:highlight w:val="none"/>
        </w:rPr>
      </w:pPr>
      <w:r>
        <w:rPr>
          <w:rFonts w:hint="eastAsia"/>
          <w:color w:val="auto"/>
          <w:sz w:val="21"/>
          <w:szCs w:val="21"/>
          <w:highlight w:val="none"/>
        </w:rPr>
        <w:t>因落实招标政策进行价格调整的，以调整后的价格计算评标基准价和投标报价。</w:t>
      </w:r>
    </w:p>
    <w:p>
      <w:pPr>
        <w:spacing w:line="360" w:lineRule="auto"/>
        <w:rPr>
          <w:rFonts w:hint="eastAsia" w:hAnsi="宋体"/>
          <w:b/>
          <w:bCs/>
          <w:color w:val="auto"/>
          <w:sz w:val="21"/>
          <w:szCs w:val="21"/>
          <w:highlight w:val="none"/>
        </w:rPr>
      </w:pPr>
      <w:r>
        <w:rPr>
          <w:rFonts w:hint="eastAsia" w:hAnsi="宋体"/>
          <w:b/>
          <w:bCs/>
          <w:color w:val="auto"/>
          <w:sz w:val="21"/>
          <w:szCs w:val="21"/>
          <w:highlight w:val="none"/>
        </w:rPr>
        <w:t>（七）得分统计及推荐中标候选人名单</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按照评标程序的规定和依据评分标准，评标委员会各成员将独立对每个投标人的投标文件进行评价，独立评出其商务评分和技术评分。各评委的评分的算术平均值即为该投标人的商务得分和技术得分。然后，评出价格得分。</w:t>
      </w:r>
    </w:p>
    <w:p>
      <w:pPr>
        <w:spacing w:line="360" w:lineRule="auto"/>
        <w:ind w:firstLine="420" w:firstLineChars="200"/>
        <w:rPr>
          <w:rFonts w:hint="eastAsia" w:hAnsi="宋体"/>
          <w:color w:val="auto"/>
          <w:kern w:val="2"/>
          <w:sz w:val="21"/>
          <w:highlight w:val="none"/>
        </w:rPr>
      </w:pPr>
      <w:r>
        <w:rPr>
          <w:rFonts w:hint="eastAsia" w:hAnsi="宋体"/>
          <w:color w:val="auto"/>
          <w:sz w:val="21"/>
          <w:szCs w:val="21"/>
          <w:highlight w:val="none"/>
        </w:rPr>
        <w:t>2、</w:t>
      </w:r>
      <w:r>
        <w:rPr>
          <w:rFonts w:hint="eastAsia" w:hAnsi="宋体"/>
          <w:color w:val="auto"/>
          <w:kern w:val="2"/>
          <w:sz w:val="21"/>
          <w:highlight w:val="none"/>
        </w:rPr>
        <w:t>综合得分＝商务得分＋技术得分＋价格得分。技术商务</w:t>
      </w:r>
      <w:r>
        <w:rPr>
          <w:rFonts w:hint="eastAsia" w:hAnsi="宋体"/>
          <w:color w:val="auto"/>
          <w:kern w:val="2"/>
          <w:sz w:val="21"/>
          <w:highlight w:val="none"/>
          <w:lang w:eastAsia="zh-CN"/>
        </w:rPr>
        <w:t>、价格</w:t>
      </w:r>
      <w:r>
        <w:rPr>
          <w:rFonts w:hint="eastAsia" w:hAnsi="宋体"/>
          <w:color w:val="auto"/>
          <w:kern w:val="2"/>
          <w:sz w:val="21"/>
          <w:highlight w:val="none"/>
        </w:rPr>
        <w:t>得分为评委评分分值的算术平均值（四舍五入后，小数点后保留两位有效数）。</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 xml:space="preserve">3、评标结果按评审后得分由高到低顺序排列推荐两名中标候选人。得分相同的，按投标报价由低到高顺序排列。得分且投标报价相同的并列。投标文件满足招标文件全部实质性要求，且按照评审因素的量化指标评审得分最高的投标人为第一中标候选人，得分次高的投标人为第二中标候选人，依次类推。           </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4、评标结果汇总完成后，除下列情形外，任何人不得修改评标结果：</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　　1）分值汇总计算错误的；</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　　2）分项评分超出评分标准范围的；</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　　3）评标委员会成员对客观评审因素评分不一致的；</w:t>
      </w:r>
    </w:p>
    <w:p>
      <w:pPr>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　　4）经评标委员会认定评分畸高、畸低的。</w:t>
      </w:r>
    </w:p>
    <w:p>
      <w:pPr>
        <w:spacing w:line="360" w:lineRule="auto"/>
        <w:rPr>
          <w:rFonts w:hint="eastAsia" w:hAnsi="宋体"/>
          <w:color w:val="auto"/>
          <w:kern w:val="2"/>
          <w:sz w:val="21"/>
          <w:highlight w:val="none"/>
        </w:rPr>
      </w:pPr>
      <w:r>
        <w:rPr>
          <w:rFonts w:hint="eastAsia" w:hAnsi="宋体"/>
          <w:color w:val="auto"/>
          <w:kern w:val="2"/>
          <w:sz w:val="21"/>
          <w:highlight w:val="none"/>
        </w:rPr>
        <w:t>评标报告签署前，经复核发现存在以上情形之一的，评标委员会当场修改评标结果，并在评标报告中记载；评标报告签署后，招标人或者招标代理机构发现存在以上情形之一的，将组织原评标委员会进行重新评审，重新评审改变评标结果的，书面报告本级监管部门。投标人对本条第一款情形提出质疑的，招标人或者招标代理机构可以组织原评标委员会进行重新评审，重新评审改变评标结果的，将书面报告监管部门。</w:t>
      </w:r>
    </w:p>
    <w:p>
      <w:pPr>
        <w:spacing w:line="360" w:lineRule="auto"/>
        <w:rPr>
          <w:rFonts w:hint="eastAsia" w:hAnsi="宋体"/>
          <w:b/>
          <w:bCs/>
          <w:color w:val="auto"/>
          <w:sz w:val="21"/>
          <w:szCs w:val="21"/>
          <w:highlight w:val="none"/>
        </w:rPr>
      </w:pPr>
      <w:r>
        <w:rPr>
          <w:rFonts w:hint="eastAsia" w:hAnsi="宋体"/>
          <w:b/>
          <w:bCs/>
          <w:color w:val="auto"/>
          <w:sz w:val="21"/>
          <w:szCs w:val="21"/>
          <w:highlight w:val="none"/>
        </w:rPr>
        <w:t>（八）编制评标报告</w:t>
      </w:r>
    </w:p>
    <w:p>
      <w:pPr>
        <w:spacing w:line="360" w:lineRule="auto"/>
        <w:ind w:left="634" w:leftChars="264" w:firstLine="420" w:firstLineChars="200"/>
        <w:rPr>
          <w:rFonts w:hint="eastAsia" w:hAnsi="宋体"/>
          <w:color w:val="auto"/>
          <w:sz w:val="21"/>
          <w:szCs w:val="21"/>
          <w:highlight w:val="none"/>
        </w:rPr>
      </w:pPr>
      <w:r>
        <w:rPr>
          <w:rFonts w:hint="eastAsia" w:hAnsi="宋体"/>
          <w:color w:val="auto"/>
          <w:sz w:val="21"/>
          <w:szCs w:val="21"/>
          <w:highlight w:val="none"/>
        </w:rPr>
        <w:t>评标委员会根据评标结果撰写评标报告。评标报告是评标委员会根据全体评标成员签名的原始评标记录和评标结果编写的报告，其主要内容包括：</w:t>
      </w:r>
    </w:p>
    <w:p>
      <w:pPr>
        <w:spacing w:line="360" w:lineRule="auto"/>
        <w:rPr>
          <w:rFonts w:hint="eastAsia" w:hAnsi="宋体"/>
          <w:color w:val="auto"/>
          <w:sz w:val="21"/>
          <w:szCs w:val="21"/>
          <w:highlight w:val="none"/>
        </w:rPr>
      </w:pPr>
      <w:r>
        <w:rPr>
          <w:rFonts w:hint="eastAsia" w:hAnsi="宋体"/>
          <w:color w:val="auto"/>
          <w:sz w:val="21"/>
          <w:szCs w:val="21"/>
          <w:highlight w:val="none"/>
        </w:rPr>
        <w:t>　　  1、招标公告刊登的媒体名称、开标日期和地点；</w:t>
      </w:r>
    </w:p>
    <w:p>
      <w:pPr>
        <w:spacing w:line="360" w:lineRule="auto"/>
        <w:rPr>
          <w:rFonts w:hint="eastAsia" w:hAnsi="宋体"/>
          <w:color w:val="auto"/>
          <w:sz w:val="21"/>
          <w:szCs w:val="21"/>
          <w:highlight w:val="none"/>
        </w:rPr>
      </w:pPr>
      <w:r>
        <w:rPr>
          <w:rFonts w:hint="eastAsia" w:hAnsi="宋体"/>
          <w:color w:val="auto"/>
          <w:sz w:val="21"/>
          <w:szCs w:val="21"/>
          <w:highlight w:val="none"/>
        </w:rPr>
        <w:t>　　  2、购买招标文件的投标人名单和评标委员会成员名单；</w:t>
      </w:r>
    </w:p>
    <w:p>
      <w:pPr>
        <w:spacing w:line="360" w:lineRule="auto"/>
        <w:rPr>
          <w:rFonts w:hint="eastAsia" w:hAnsi="宋体"/>
          <w:color w:val="auto"/>
          <w:sz w:val="21"/>
          <w:szCs w:val="21"/>
          <w:highlight w:val="none"/>
        </w:rPr>
      </w:pPr>
      <w:r>
        <w:rPr>
          <w:rFonts w:hint="eastAsia" w:hAnsi="宋体"/>
          <w:color w:val="auto"/>
          <w:sz w:val="21"/>
          <w:szCs w:val="21"/>
          <w:highlight w:val="none"/>
        </w:rPr>
        <w:t>　　  3、评标方法和标准；</w:t>
      </w:r>
    </w:p>
    <w:p>
      <w:pPr>
        <w:spacing w:line="360" w:lineRule="auto"/>
        <w:rPr>
          <w:rFonts w:hint="eastAsia" w:hAnsi="宋体"/>
          <w:color w:val="auto"/>
          <w:sz w:val="21"/>
          <w:szCs w:val="21"/>
          <w:highlight w:val="none"/>
        </w:rPr>
      </w:pPr>
      <w:r>
        <w:rPr>
          <w:rFonts w:hint="eastAsia" w:hAnsi="宋体"/>
          <w:color w:val="auto"/>
          <w:sz w:val="21"/>
          <w:szCs w:val="21"/>
          <w:highlight w:val="none"/>
        </w:rPr>
        <w:t>　　  4、开标记录和评标情况及说明，包括投标无效投标人名单及原因；</w:t>
      </w:r>
    </w:p>
    <w:p>
      <w:pPr>
        <w:spacing w:line="360" w:lineRule="auto"/>
        <w:rPr>
          <w:rFonts w:hint="eastAsia" w:hAnsi="宋体"/>
          <w:color w:val="auto"/>
          <w:sz w:val="21"/>
          <w:szCs w:val="21"/>
          <w:highlight w:val="none"/>
        </w:rPr>
      </w:pPr>
      <w:r>
        <w:rPr>
          <w:rFonts w:hint="eastAsia" w:hAnsi="宋体"/>
          <w:color w:val="auto"/>
          <w:sz w:val="21"/>
          <w:szCs w:val="21"/>
          <w:highlight w:val="none"/>
        </w:rPr>
        <w:t>　　  5、评标结果和中标候选投标人排序表；</w:t>
      </w:r>
    </w:p>
    <w:p>
      <w:pPr>
        <w:spacing w:line="360" w:lineRule="auto"/>
        <w:ind w:firstLine="630" w:firstLineChars="300"/>
        <w:rPr>
          <w:rFonts w:hint="eastAsia" w:hAnsi="宋体"/>
          <w:color w:val="auto"/>
          <w:sz w:val="21"/>
          <w:szCs w:val="21"/>
          <w:highlight w:val="none"/>
        </w:rPr>
      </w:pPr>
      <w:r>
        <w:rPr>
          <w:rFonts w:hint="eastAsia" w:hAnsi="宋体"/>
          <w:color w:val="auto"/>
          <w:sz w:val="21"/>
          <w:szCs w:val="21"/>
          <w:highlight w:val="none"/>
        </w:rPr>
        <w:t>6、评标委员会的授标建议。</w:t>
      </w:r>
    </w:p>
    <w:bookmarkEnd w:id="57"/>
    <w:p>
      <w:pPr>
        <w:tabs>
          <w:tab w:val="left" w:pos="1287"/>
        </w:tabs>
        <w:snapToGrid w:val="0"/>
        <w:spacing w:line="360" w:lineRule="auto"/>
        <w:ind w:left="-53" w:leftChars="-22" w:firstLine="51" w:firstLineChars="24"/>
        <w:outlineLvl w:val="1"/>
        <w:rPr>
          <w:rFonts w:hint="eastAsia" w:hAnsi="宋体" w:cs="宋体"/>
          <w:b/>
          <w:color w:val="auto"/>
          <w:sz w:val="21"/>
          <w:szCs w:val="21"/>
          <w:highlight w:val="none"/>
        </w:rPr>
      </w:pPr>
      <w:bookmarkStart w:id="58" w:name="_Toc13795"/>
      <w:r>
        <w:rPr>
          <w:rFonts w:hint="eastAsia" w:hAnsi="宋体" w:cs="宋体"/>
          <w:b/>
          <w:color w:val="auto"/>
          <w:sz w:val="21"/>
          <w:szCs w:val="21"/>
          <w:highlight w:val="none"/>
        </w:rPr>
        <w:t>三、评分标准和细则</w:t>
      </w:r>
      <w:bookmarkEnd w:id="58"/>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730"/>
        <w:gridCol w:w="846"/>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14" w:type="dxa"/>
            <w:tcBorders>
              <w:top w:val="single" w:color="auto" w:sz="4" w:space="0"/>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序号</w:t>
            </w:r>
          </w:p>
        </w:tc>
        <w:tc>
          <w:tcPr>
            <w:tcW w:w="1730" w:type="dxa"/>
            <w:tcBorders>
              <w:top w:val="single" w:color="auto" w:sz="4" w:space="0"/>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评分内容</w:t>
            </w:r>
          </w:p>
        </w:tc>
        <w:tc>
          <w:tcPr>
            <w:tcW w:w="846" w:type="dxa"/>
            <w:tcBorders>
              <w:top w:val="single" w:color="auto" w:sz="4" w:space="0"/>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分值</w:t>
            </w:r>
          </w:p>
        </w:tc>
        <w:tc>
          <w:tcPr>
            <w:tcW w:w="6095" w:type="dxa"/>
            <w:tcBorders>
              <w:top w:val="single" w:color="auto" w:sz="4" w:space="0"/>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ascii="宋体" w:eastAsia="宋体"/>
                <w:b/>
                <w:color w:val="auto"/>
                <w:sz w:val="21"/>
                <w:szCs w:val="21"/>
                <w:highlight w:val="none"/>
              </w:rPr>
            </w:pPr>
            <w:r>
              <w:rPr>
                <w:rFonts w:hint="eastAsia" w:ascii="宋体" w:eastAsia="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285"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Ansi="宋体"/>
                <w:color w:val="auto"/>
                <w:sz w:val="21"/>
                <w:szCs w:val="21"/>
                <w:highlight w:val="none"/>
              </w:rPr>
            </w:pPr>
            <w:r>
              <w:rPr>
                <w:rFonts w:hint="eastAsia" w:hAnsi="宋体"/>
                <w:b/>
                <w:color w:val="auto"/>
                <w:sz w:val="21"/>
                <w:szCs w:val="21"/>
                <w:highlight w:val="none"/>
              </w:rPr>
              <w:t>商务评分（40分）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4" w:type="dxa"/>
            <w:tcBorders>
              <w:top w:val="single" w:color="auto" w:sz="4" w:space="0"/>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1</w:t>
            </w:r>
          </w:p>
        </w:tc>
        <w:tc>
          <w:tcPr>
            <w:tcW w:w="17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企业</w:t>
            </w:r>
          </w:p>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财务状况</w:t>
            </w:r>
          </w:p>
        </w:tc>
        <w:tc>
          <w:tcPr>
            <w:tcW w:w="84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3</w:t>
            </w:r>
            <w:r>
              <w:rPr>
                <w:rFonts w:hint="eastAsia" w:hAnsi="宋体" w:cs="仿宋"/>
                <w:color w:val="auto"/>
                <w:sz w:val="21"/>
                <w:szCs w:val="21"/>
                <w:highlight w:val="none"/>
              </w:rPr>
              <w:t>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Ansi="宋体"/>
                <w:color w:val="auto"/>
                <w:sz w:val="21"/>
                <w:szCs w:val="21"/>
                <w:highlight w:val="none"/>
              </w:rPr>
            </w:pPr>
            <w:r>
              <w:rPr>
                <w:rFonts w:hint="eastAsia" w:hAnsi="宋体"/>
                <w:color w:val="auto"/>
                <w:sz w:val="21"/>
                <w:szCs w:val="21"/>
                <w:highlight w:val="none"/>
              </w:rPr>
              <w:t>投标人连续三年（2018—2020年）都盈利的得3分，连续两年盈利的得1分，其他的不得分。</w:t>
            </w:r>
          </w:p>
          <w:p>
            <w:pPr>
              <w:widowControl/>
              <w:spacing w:line="360" w:lineRule="auto"/>
              <w:rPr>
                <w:rFonts w:hAnsi="宋体"/>
                <w:color w:val="auto"/>
                <w:sz w:val="21"/>
                <w:szCs w:val="21"/>
                <w:highlight w:val="none"/>
              </w:rPr>
            </w:pPr>
            <w:r>
              <w:rPr>
                <w:rFonts w:hAnsi="宋体"/>
                <w:color w:val="auto"/>
                <w:sz w:val="21"/>
                <w:szCs w:val="21"/>
                <w:highlight w:val="none"/>
              </w:rPr>
              <w:t>本项最高得</w:t>
            </w:r>
            <w:r>
              <w:rPr>
                <w:rFonts w:hint="eastAsia" w:hAnsi="宋体"/>
                <w:color w:val="auto"/>
                <w:sz w:val="21"/>
                <w:szCs w:val="21"/>
                <w:highlight w:val="none"/>
              </w:rPr>
              <w:t>3</w:t>
            </w:r>
            <w:r>
              <w:rPr>
                <w:rFonts w:hAnsi="宋体"/>
                <w:color w:val="auto"/>
                <w:sz w:val="21"/>
                <w:szCs w:val="21"/>
                <w:highlight w:val="none"/>
              </w:rPr>
              <w:t>分。</w:t>
            </w:r>
          </w:p>
          <w:p>
            <w:pPr>
              <w:spacing w:line="360" w:lineRule="auto"/>
              <w:rPr>
                <w:rFonts w:hint="eastAsia" w:hAnsi="宋体" w:cs="宋体"/>
                <w:color w:val="auto"/>
                <w:sz w:val="21"/>
                <w:szCs w:val="21"/>
                <w:highlight w:val="none"/>
              </w:rPr>
            </w:pPr>
            <w:r>
              <w:rPr>
                <w:rFonts w:hAnsi="宋体"/>
                <w:color w:val="auto"/>
                <w:sz w:val="21"/>
                <w:szCs w:val="21"/>
                <w:highlight w:val="none"/>
              </w:rPr>
              <w:t>以投标人提供</w:t>
            </w:r>
            <w:r>
              <w:rPr>
                <w:rFonts w:hint="eastAsia" w:hAnsi="宋体"/>
                <w:color w:val="auto"/>
                <w:sz w:val="21"/>
                <w:szCs w:val="21"/>
                <w:highlight w:val="none"/>
              </w:rPr>
              <w:t>以会计师事务所审计的财务报表</w:t>
            </w:r>
            <w:r>
              <w:rPr>
                <w:rFonts w:hAnsi="宋体"/>
                <w:color w:val="auto"/>
                <w:sz w:val="21"/>
                <w:szCs w:val="21"/>
                <w:highlight w:val="none"/>
              </w:rPr>
              <w:t>复印件的统计数据作为评审依据。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p>
          <w:p>
            <w:pPr>
              <w:spacing w:line="360" w:lineRule="auto"/>
              <w:jc w:val="center"/>
              <w:rPr>
                <w:rFonts w:hint="eastAsia" w:hAnsi="宋体"/>
                <w:color w:val="auto"/>
                <w:sz w:val="21"/>
                <w:szCs w:val="21"/>
                <w:highlight w:val="none"/>
              </w:rPr>
            </w:pPr>
          </w:p>
          <w:p>
            <w:pPr>
              <w:spacing w:line="360" w:lineRule="auto"/>
              <w:jc w:val="center"/>
              <w:rPr>
                <w:rFonts w:hint="eastAsia" w:hAnsi="宋体"/>
                <w:color w:val="auto"/>
                <w:sz w:val="21"/>
                <w:szCs w:val="21"/>
                <w:highlight w:val="none"/>
              </w:rPr>
            </w:pPr>
            <w:r>
              <w:rPr>
                <w:rFonts w:hint="eastAsia" w:hAnsi="宋体"/>
                <w:color w:val="auto"/>
                <w:sz w:val="21"/>
                <w:szCs w:val="21"/>
                <w:highlight w:val="none"/>
              </w:rPr>
              <w:t>2</w:t>
            </w:r>
          </w:p>
        </w:tc>
        <w:tc>
          <w:tcPr>
            <w:tcW w:w="1730"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p>
          <w:p>
            <w:pPr>
              <w:spacing w:line="360" w:lineRule="auto"/>
              <w:jc w:val="center"/>
              <w:rPr>
                <w:rFonts w:hint="eastAsia" w:hAnsi="宋体"/>
                <w:color w:val="auto"/>
                <w:sz w:val="21"/>
                <w:szCs w:val="21"/>
                <w:highlight w:val="none"/>
              </w:rPr>
            </w:pPr>
          </w:p>
          <w:p>
            <w:pPr>
              <w:spacing w:line="360" w:lineRule="auto"/>
              <w:jc w:val="center"/>
              <w:rPr>
                <w:rFonts w:hAnsi="宋体"/>
                <w:color w:val="auto"/>
                <w:sz w:val="21"/>
                <w:szCs w:val="21"/>
                <w:highlight w:val="none"/>
              </w:rPr>
            </w:pPr>
            <w:r>
              <w:rPr>
                <w:rFonts w:hint="eastAsia" w:hAnsi="宋体"/>
                <w:color w:val="auto"/>
                <w:sz w:val="21"/>
                <w:szCs w:val="21"/>
                <w:highlight w:val="none"/>
              </w:rPr>
              <w:t>企业</w:t>
            </w:r>
          </w:p>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信用</w:t>
            </w:r>
          </w:p>
        </w:tc>
        <w:tc>
          <w:tcPr>
            <w:tcW w:w="846"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p>
          <w:p>
            <w:pPr>
              <w:spacing w:line="360" w:lineRule="auto"/>
              <w:jc w:val="center"/>
              <w:rPr>
                <w:rFonts w:hint="eastAsia" w:hAnsi="宋体"/>
                <w:color w:val="auto"/>
                <w:sz w:val="21"/>
                <w:szCs w:val="21"/>
                <w:highlight w:val="none"/>
              </w:rPr>
            </w:pPr>
          </w:p>
          <w:p>
            <w:pPr>
              <w:spacing w:line="360" w:lineRule="auto"/>
              <w:jc w:val="center"/>
              <w:rPr>
                <w:rFonts w:hint="eastAsia" w:hAnsi="宋体"/>
                <w:color w:val="auto"/>
                <w:sz w:val="21"/>
                <w:szCs w:val="21"/>
                <w:highlight w:val="none"/>
              </w:rPr>
            </w:pPr>
          </w:p>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5</w:t>
            </w:r>
            <w:r>
              <w:rPr>
                <w:rFonts w:hint="eastAsia" w:hAnsi="宋体" w:cs="仿宋"/>
                <w:color w:val="auto"/>
                <w:sz w:val="21"/>
                <w:szCs w:val="21"/>
                <w:highlight w:val="none"/>
              </w:rPr>
              <w:t>分</w:t>
            </w:r>
          </w:p>
        </w:tc>
        <w:tc>
          <w:tcPr>
            <w:tcW w:w="60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hint="eastAsia" w:hAnsi="宋体"/>
                <w:color w:val="auto"/>
                <w:sz w:val="21"/>
                <w:szCs w:val="21"/>
                <w:highlight w:val="none"/>
              </w:rPr>
            </w:pPr>
            <w:r>
              <w:rPr>
                <w:rFonts w:hint="eastAsia" w:hAnsi="宋体"/>
                <w:color w:val="auto"/>
                <w:sz w:val="21"/>
                <w:szCs w:val="21"/>
                <w:highlight w:val="none"/>
              </w:rPr>
              <w:t>1、投标人具有造价咨询企业信用等级AAA级证书</w:t>
            </w:r>
            <w:r>
              <w:rPr>
                <w:rFonts w:hAnsi="宋体"/>
                <w:color w:val="auto"/>
                <w:sz w:val="21"/>
                <w:szCs w:val="21"/>
                <w:highlight w:val="none"/>
              </w:rPr>
              <w:t>（有效期内）的、得</w:t>
            </w:r>
            <w:r>
              <w:rPr>
                <w:rFonts w:hint="eastAsia" w:hAnsi="宋体"/>
                <w:color w:val="auto"/>
                <w:sz w:val="21"/>
                <w:szCs w:val="21"/>
                <w:highlight w:val="none"/>
              </w:rPr>
              <w:t>3分</w:t>
            </w:r>
            <w:r>
              <w:rPr>
                <w:rFonts w:hAnsi="宋体"/>
                <w:color w:val="auto"/>
                <w:sz w:val="21"/>
                <w:szCs w:val="21"/>
                <w:highlight w:val="none"/>
              </w:rPr>
              <w:t>，</w:t>
            </w:r>
            <w:r>
              <w:rPr>
                <w:rFonts w:hint="eastAsia" w:hAnsi="宋体"/>
                <w:color w:val="auto"/>
                <w:sz w:val="21"/>
                <w:szCs w:val="21"/>
                <w:highlight w:val="none"/>
              </w:rPr>
              <w:t>AA级证书</w:t>
            </w:r>
            <w:r>
              <w:rPr>
                <w:rFonts w:hAnsi="宋体"/>
                <w:color w:val="auto"/>
                <w:sz w:val="21"/>
                <w:szCs w:val="21"/>
                <w:highlight w:val="none"/>
              </w:rPr>
              <w:t>（有效期内）的、得</w:t>
            </w:r>
            <w:r>
              <w:rPr>
                <w:rFonts w:hint="eastAsia" w:hAnsi="宋体"/>
                <w:color w:val="auto"/>
                <w:sz w:val="21"/>
                <w:szCs w:val="21"/>
                <w:highlight w:val="none"/>
              </w:rPr>
              <w:t>1分</w:t>
            </w:r>
            <w:r>
              <w:rPr>
                <w:rFonts w:hAnsi="宋体"/>
                <w:color w:val="auto"/>
                <w:sz w:val="21"/>
                <w:szCs w:val="21"/>
                <w:highlight w:val="none"/>
              </w:rPr>
              <w:t>，本分项最高得</w:t>
            </w:r>
            <w:r>
              <w:rPr>
                <w:rFonts w:hint="eastAsia" w:hAnsi="宋体"/>
                <w:color w:val="auto"/>
                <w:sz w:val="21"/>
                <w:szCs w:val="21"/>
                <w:highlight w:val="none"/>
              </w:rPr>
              <w:t>3</w:t>
            </w:r>
            <w:r>
              <w:rPr>
                <w:rFonts w:hAnsi="宋体"/>
                <w:color w:val="auto"/>
                <w:sz w:val="21"/>
                <w:szCs w:val="21"/>
                <w:highlight w:val="none"/>
              </w:rPr>
              <w:t>分</w:t>
            </w:r>
            <w:r>
              <w:rPr>
                <w:rFonts w:hint="eastAsia" w:hAnsi="宋体"/>
                <w:color w:val="auto"/>
                <w:sz w:val="21"/>
                <w:szCs w:val="21"/>
                <w:highlight w:val="none"/>
              </w:rPr>
              <w:t>。</w:t>
            </w:r>
          </w:p>
          <w:p>
            <w:pPr>
              <w:widowControl/>
              <w:spacing w:line="360" w:lineRule="auto"/>
              <w:rPr>
                <w:color w:val="auto"/>
                <w:highlight w:val="none"/>
              </w:rPr>
            </w:pPr>
            <w:r>
              <w:rPr>
                <w:rFonts w:hint="eastAsia"/>
                <w:color w:val="auto"/>
                <w:sz w:val="21"/>
                <w:szCs w:val="21"/>
                <w:highlight w:val="none"/>
              </w:rPr>
              <w:t>注：</w:t>
            </w:r>
            <w:r>
              <w:rPr>
                <w:rFonts w:hint="eastAsia" w:hAnsi="宋体"/>
                <w:color w:val="auto"/>
                <w:sz w:val="21"/>
                <w:szCs w:val="21"/>
                <w:highlight w:val="none"/>
              </w:rPr>
              <w:t>以投标人提供相关有效的资料证明复印件</w:t>
            </w:r>
            <w:r>
              <w:rPr>
                <w:rFonts w:hAnsi="宋体"/>
                <w:color w:val="auto"/>
                <w:sz w:val="21"/>
                <w:szCs w:val="21"/>
                <w:highlight w:val="none"/>
              </w:rPr>
              <w:t>作为评审依据，否则不得分</w:t>
            </w:r>
            <w:r>
              <w:rPr>
                <w:rFonts w:hint="eastAsia" w:hAnsi="宋体"/>
                <w:color w:val="auto"/>
                <w:sz w:val="21"/>
                <w:szCs w:val="21"/>
                <w:highlight w:val="none"/>
              </w:rPr>
              <w:t>。</w:t>
            </w:r>
          </w:p>
          <w:p>
            <w:pPr>
              <w:widowControl/>
              <w:spacing w:line="360" w:lineRule="auto"/>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投标人自201</w:t>
            </w:r>
            <w:r>
              <w:rPr>
                <w:rFonts w:hint="eastAsia" w:hAnsi="宋体"/>
                <w:color w:val="auto"/>
                <w:sz w:val="21"/>
                <w:szCs w:val="21"/>
                <w:highlight w:val="none"/>
              </w:rPr>
              <w:t>5</w:t>
            </w:r>
            <w:r>
              <w:rPr>
                <w:rFonts w:hAnsi="宋体"/>
                <w:color w:val="auto"/>
                <w:sz w:val="21"/>
                <w:szCs w:val="21"/>
                <w:highlight w:val="none"/>
              </w:rPr>
              <w:t>年1月1日起连续</w:t>
            </w:r>
            <w:r>
              <w:rPr>
                <w:rFonts w:hint="eastAsia" w:hAnsi="宋体"/>
                <w:color w:val="auto"/>
                <w:sz w:val="21"/>
                <w:szCs w:val="21"/>
                <w:highlight w:val="none"/>
              </w:rPr>
              <w:t>三</w:t>
            </w:r>
            <w:r>
              <w:rPr>
                <w:rFonts w:hAnsi="宋体"/>
                <w:color w:val="auto"/>
                <w:sz w:val="21"/>
                <w:szCs w:val="21"/>
                <w:highlight w:val="none"/>
              </w:rPr>
              <w:t>年获得 “守合同重信用评价”的，得</w:t>
            </w:r>
            <w:r>
              <w:rPr>
                <w:rFonts w:hint="eastAsia" w:hAnsi="宋体"/>
                <w:color w:val="auto"/>
                <w:sz w:val="21"/>
                <w:szCs w:val="21"/>
                <w:highlight w:val="none"/>
              </w:rPr>
              <w:t>2</w:t>
            </w:r>
            <w:r>
              <w:rPr>
                <w:rFonts w:hAnsi="宋体"/>
                <w:color w:val="auto"/>
                <w:sz w:val="21"/>
                <w:szCs w:val="21"/>
                <w:highlight w:val="none"/>
              </w:rPr>
              <w:t>分；连续</w:t>
            </w:r>
            <w:r>
              <w:rPr>
                <w:rFonts w:hint="eastAsia" w:hAnsi="宋体"/>
                <w:color w:val="auto"/>
                <w:sz w:val="21"/>
                <w:szCs w:val="21"/>
                <w:highlight w:val="none"/>
              </w:rPr>
              <w:t>二</w:t>
            </w:r>
            <w:r>
              <w:rPr>
                <w:rFonts w:hAnsi="宋体"/>
                <w:color w:val="auto"/>
                <w:sz w:val="21"/>
                <w:szCs w:val="21"/>
                <w:highlight w:val="none"/>
              </w:rPr>
              <w:t xml:space="preserve">年获得“守合同重信用评价”的，得 </w:t>
            </w:r>
            <w:r>
              <w:rPr>
                <w:rFonts w:hint="eastAsia" w:hAnsi="宋体"/>
                <w:color w:val="auto"/>
                <w:sz w:val="21"/>
                <w:szCs w:val="21"/>
                <w:highlight w:val="none"/>
              </w:rPr>
              <w:t>1</w:t>
            </w:r>
            <w:r>
              <w:rPr>
                <w:rFonts w:hAnsi="宋体"/>
                <w:color w:val="auto"/>
                <w:sz w:val="21"/>
                <w:szCs w:val="21"/>
                <w:highlight w:val="none"/>
              </w:rPr>
              <w:t>分</w:t>
            </w:r>
            <w:r>
              <w:rPr>
                <w:rFonts w:hint="eastAsia" w:hAnsi="宋体"/>
                <w:color w:val="auto"/>
                <w:sz w:val="21"/>
                <w:szCs w:val="21"/>
                <w:highlight w:val="none"/>
              </w:rPr>
              <w:t>,</w:t>
            </w:r>
            <w:r>
              <w:rPr>
                <w:rFonts w:hAnsi="宋体"/>
                <w:color w:val="auto"/>
                <w:sz w:val="21"/>
                <w:szCs w:val="21"/>
                <w:highlight w:val="none"/>
              </w:rPr>
              <w:t>本分项最高得</w:t>
            </w:r>
            <w:r>
              <w:rPr>
                <w:rFonts w:hint="eastAsia" w:hAnsi="宋体"/>
                <w:color w:val="auto"/>
                <w:sz w:val="21"/>
                <w:szCs w:val="21"/>
                <w:highlight w:val="none"/>
              </w:rPr>
              <w:t>2</w:t>
            </w:r>
            <w:r>
              <w:rPr>
                <w:rFonts w:hAnsi="宋体"/>
                <w:color w:val="auto"/>
                <w:sz w:val="21"/>
                <w:szCs w:val="21"/>
                <w:highlight w:val="none"/>
              </w:rPr>
              <w:t>分。</w:t>
            </w:r>
          </w:p>
          <w:p>
            <w:pPr>
              <w:widowControl/>
              <w:spacing w:line="360" w:lineRule="auto"/>
              <w:rPr>
                <w:rFonts w:hint="eastAsia" w:hAnsi="宋体" w:cs="宋体"/>
                <w:color w:val="auto"/>
                <w:sz w:val="21"/>
                <w:szCs w:val="21"/>
                <w:highlight w:val="none"/>
              </w:rPr>
            </w:pPr>
            <w:r>
              <w:rPr>
                <w:rFonts w:hint="eastAsia" w:hAnsi="宋体"/>
                <w:color w:val="auto"/>
                <w:sz w:val="21"/>
                <w:szCs w:val="21"/>
                <w:highlight w:val="none"/>
              </w:rPr>
              <w:t>注：</w:t>
            </w:r>
            <w:r>
              <w:rPr>
                <w:rFonts w:hAnsi="宋体"/>
                <w:color w:val="auto"/>
                <w:sz w:val="21"/>
                <w:szCs w:val="21"/>
                <w:highlight w:val="none"/>
              </w:rPr>
              <w:t>需提供工商系统颁发的有效证明材料复印件</w:t>
            </w:r>
            <w:r>
              <w:rPr>
                <w:rFonts w:hint="eastAsia" w:hAnsi="宋体"/>
                <w:color w:val="auto"/>
                <w:sz w:val="21"/>
                <w:szCs w:val="21"/>
                <w:highlight w:val="none"/>
              </w:rPr>
              <w:t>，</w:t>
            </w:r>
            <w:r>
              <w:rPr>
                <w:rFonts w:hAnsi="宋体"/>
                <w:color w:val="auto"/>
                <w:sz w:val="21"/>
                <w:szCs w:val="21"/>
                <w:highlight w:val="none"/>
              </w:rPr>
              <w:t>作为评审依据，否则不得分</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3</w:t>
            </w:r>
          </w:p>
        </w:tc>
        <w:tc>
          <w:tcPr>
            <w:tcW w:w="1730"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企业获奖情况</w:t>
            </w:r>
          </w:p>
        </w:tc>
        <w:tc>
          <w:tcPr>
            <w:tcW w:w="846"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6</w:t>
            </w:r>
            <w:r>
              <w:rPr>
                <w:rFonts w:hint="eastAsia" w:hAnsi="宋体" w:cs="仿宋"/>
                <w:color w:val="auto"/>
                <w:sz w:val="21"/>
                <w:szCs w:val="21"/>
                <w:highlight w:val="none"/>
              </w:rPr>
              <w:t>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Ansi="宋体"/>
                <w:color w:val="auto"/>
                <w:sz w:val="21"/>
                <w:szCs w:val="21"/>
                <w:highlight w:val="none"/>
              </w:rPr>
            </w:pPr>
            <w:r>
              <w:rPr>
                <w:rFonts w:hAnsi="宋体"/>
                <w:color w:val="auto"/>
                <w:sz w:val="21"/>
                <w:szCs w:val="21"/>
                <w:highlight w:val="none"/>
              </w:rPr>
              <w:t>投标人承接过的</w:t>
            </w:r>
            <w:r>
              <w:rPr>
                <w:rFonts w:hint="eastAsia" w:hAnsi="宋体"/>
                <w:color w:val="auto"/>
                <w:sz w:val="21"/>
                <w:szCs w:val="21"/>
                <w:highlight w:val="none"/>
              </w:rPr>
              <w:t>造价咨询类</w:t>
            </w:r>
            <w:r>
              <w:rPr>
                <w:rFonts w:hAnsi="宋体"/>
                <w:color w:val="auto"/>
                <w:sz w:val="21"/>
                <w:szCs w:val="21"/>
                <w:highlight w:val="none"/>
              </w:rPr>
              <w:t>项目业绩中2015年0</w:t>
            </w:r>
            <w:r>
              <w:rPr>
                <w:rFonts w:hint="eastAsia" w:hAnsi="宋体"/>
                <w:color w:val="auto"/>
                <w:sz w:val="21"/>
                <w:szCs w:val="21"/>
                <w:highlight w:val="none"/>
              </w:rPr>
              <w:t>7</w:t>
            </w:r>
            <w:r>
              <w:rPr>
                <w:rFonts w:hAnsi="宋体"/>
                <w:color w:val="auto"/>
                <w:sz w:val="21"/>
                <w:szCs w:val="21"/>
                <w:highlight w:val="none"/>
              </w:rPr>
              <w:t>月01日至2021年0</w:t>
            </w:r>
            <w:r>
              <w:rPr>
                <w:rFonts w:hint="eastAsia" w:hAnsi="宋体"/>
                <w:color w:val="auto"/>
                <w:sz w:val="21"/>
                <w:szCs w:val="21"/>
                <w:highlight w:val="none"/>
              </w:rPr>
              <w:t>7</w:t>
            </w:r>
            <w:r>
              <w:rPr>
                <w:rFonts w:hAnsi="宋体"/>
                <w:color w:val="auto"/>
                <w:sz w:val="21"/>
                <w:szCs w:val="21"/>
                <w:highlight w:val="none"/>
              </w:rPr>
              <w:t>月01日获得业绩奖项或投标人2015年0</w:t>
            </w:r>
            <w:r>
              <w:rPr>
                <w:rFonts w:hint="eastAsia" w:hAnsi="宋体"/>
                <w:color w:val="auto"/>
                <w:sz w:val="21"/>
                <w:szCs w:val="21"/>
                <w:highlight w:val="none"/>
              </w:rPr>
              <w:t>7</w:t>
            </w:r>
            <w:r>
              <w:rPr>
                <w:rFonts w:hAnsi="宋体"/>
                <w:color w:val="auto"/>
                <w:sz w:val="21"/>
                <w:szCs w:val="21"/>
                <w:highlight w:val="none"/>
              </w:rPr>
              <w:t>月01日至2021年0</w:t>
            </w:r>
            <w:r>
              <w:rPr>
                <w:rFonts w:hint="eastAsia" w:hAnsi="宋体"/>
                <w:color w:val="auto"/>
                <w:sz w:val="21"/>
                <w:szCs w:val="21"/>
                <w:highlight w:val="none"/>
              </w:rPr>
              <w:t>7</w:t>
            </w:r>
            <w:r>
              <w:rPr>
                <w:rFonts w:hAnsi="宋体"/>
                <w:color w:val="auto"/>
                <w:sz w:val="21"/>
                <w:szCs w:val="21"/>
                <w:highlight w:val="none"/>
              </w:rPr>
              <w:t>月01日获得企业奖项的：</w:t>
            </w:r>
          </w:p>
          <w:p>
            <w:pPr>
              <w:widowControl/>
              <w:spacing w:line="360" w:lineRule="auto"/>
              <w:rPr>
                <w:rFonts w:hAnsi="宋体"/>
                <w:color w:val="auto"/>
                <w:sz w:val="21"/>
                <w:szCs w:val="21"/>
                <w:highlight w:val="none"/>
              </w:rPr>
            </w:pPr>
            <w:r>
              <w:rPr>
                <w:rFonts w:hint="eastAsia" w:hAnsi="宋体"/>
                <w:color w:val="auto"/>
                <w:sz w:val="21"/>
                <w:szCs w:val="21"/>
                <w:highlight w:val="none"/>
              </w:rPr>
              <w:t>①</w:t>
            </w:r>
            <w:r>
              <w:rPr>
                <w:rFonts w:hAnsi="宋体"/>
                <w:color w:val="auto"/>
                <w:sz w:val="21"/>
                <w:szCs w:val="21"/>
                <w:highlight w:val="none"/>
              </w:rPr>
              <w:t>获得国家级或部级或国家行业协会</w:t>
            </w:r>
            <w:r>
              <w:rPr>
                <w:rFonts w:hint="eastAsia" w:hAnsi="宋体"/>
                <w:color w:val="auto"/>
                <w:sz w:val="21"/>
                <w:szCs w:val="21"/>
                <w:highlight w:val="none"/>
              </w:rPr>
              <w:t>、</w:t>
            </w:r>
            <w:r>
              <w:rPr>
                <w:rFonts w:hAnsi="宋体"/>
                <w:color w:val="auto"/>
                <w:sz w:val="21"/>
                <w:szCs w:val="21"/>
                <w:highlight w:val="none"/>
              </w:rPr>
              <w:t>省级建设行政主管部门或省级行业协会颁发</w:t>
            </w:r>
            <w:r>
              <w:rPr>
                <w:rFonts w:hint="eastAsia" w:hAnsi="宋体"/>
                <w:color w:val="auto"/>
                <w:sz w:val="21"/>
                <w:szCs w:val="21"/>
                <w:highlight w:val="none"/>
              </w:rPr>
              <w:t>的业绩或企业</w:t>
            </w:r>
            <w:r>
              <w:rPr>
                <w:rFonts w:hAnsi="宋体"/>
                <w:color w:val="auto"/>
                <w:sz w:val="21"/>
                <w:szCs w:val="21"/>
                <w:highlight w:val="none"/>
              </w:rPr>
              <w:t>奖项的，每项得</w:t>
            </w:r>
            <w:r>
              <w:rPr>
                <w:rFonts w:hint="eastAsia" w:hAnsi="宋体"/>
                <w:color w:val="auto"/>
                <w:sz w:val="21"/>
                <w:szCs w:val="21"/>
                <w:highlight w:val="none"/>
              </w:rPr>
              <w:t>2</w:t>
            </w:r>
            <w:r>
              <w:rPr>
                <w:rFonts w:hAnsi="宋体"/>
                <w:color w:val="auto"/>
                <w:sz w:val="21"/>
                <w:szCs w:val="21"/>
                <w:highlight w:val="none"/>
              </w:rPr>
              <w:t>分，本分项最高得</w:t>
            </w:r>
            <w:r>
              <w:rPr>
                <w:rFonts w:hint="eastAsia" w:hAnsi="宋体"/>
                <w:color w:val="auto"/>
                <w:sz w:val="21"/>
                <w:szCs w:val="21"/>
                <w:highlight w:val="none"/>
              </w:rPr>
              <w:t>4</w:t>
            </w:r>
            <w:r>
              <w:rPr>
                <w:rFonts w:hAnsi="宋体"/>
                <w:color w:val="auto"/>
                <w:sz w:val="21"/>
                <w:szCs w:val="21"/>
                <w:highlight w:val="none"/>
              </w:rPr>
              <w:t>分；</w:t>
            </w:r>
          </w:p>
          <w:p>
            <w:pPr>
              <w:widowControl/>
              <w:spacing w:line="360" w:lineRule="auto"/>
              <w:rPr>
                <w:rFonts w:hint="eastAsia" w:hAnsi="宋体" w:eastAsia="宋体"/>
                <w:color w:val="auto"/>
                <w:sz w:val="21"/>
                <w:szCs w:val="21"/>
                <w:highlight w:val="none"/>
                <w:lang w:eastAsia="zh-CN"/>
              </w:rPr>
            </w:pPr>
            <w:r>
              <w:rPr>
                <w:rFonts w:hint="eastAsia" w:hAnsi="宋体"/>
                <w:color w:val="auto"/>
                <w:sz w:val="21"/>
                <w:szCs w:val="21"/>
                <w:highlight w:val="none"/>
              </w:rPr>
              <w:t>②</w:t>
            </w:r>
            <w:r>
              <w:rPr>
                <w:rFonts w:hAnsi="宋体"/>
                <w:color w:val="auto"/>
                <w:sz w:val="21"/>
                <w:szCs w:val="21"/>
                <w:highlight w:val="none"/>
              </w:rPr>
              <w:t>获得市级建设行政主管部门或市级行业协会颁发</w:t>
            </w:r>
            <w:r>
              <w:rPr>
                <w:rFonts w:hint="eastAsia" w:hAnsi="宋体"/>
                <w:color w:val="auto"/>
                <w:sz w:val="21"/>
                <w:szCs w:val="21"/>
                <w:highlight w:val="none"/>
              </w:rPr>
              <w:t>的业绩或企业</w:t>
            </w:r>
            <w:r>
              <w:rPr>
                <w:rFonts w:hAnsi="宋体"/>
                <w:color w:val="auto"/>
                <w:sz w:val="21"/>
                <w:szCs w:val="21"/>
                <w:highlight w:val="none"/>
              </w:rPr>
              <w:t>奖项的，每项得1分，本分项最高得2分</w:t>
            </w:r>
            <w:r>
              <w:rPr>
                <w:rFonts w:hint="eastAsia" w:hAnsi="宋体"/>
                <w:color w:val="auto"/>
                <w:sz w:val="21"/>
                <w:szCs w:val="21"/>
                <w:highlight w:val="none"/>
                <w:lang w:eastAsia="zh-CN"/>
              </w:rPr>
              <w:t>；</w:t>
            </w:r>
          </w:p>
          <w:p>
            <w:pPr>
              <w:widowControl/>
              <w:spacing w:line="360" w:lineRule="auto"/>
              <w:rPr>
                <w:rFonts w:hAnsi="宋体"/>
                <w:color w:val="auto"/>
                <w:sz w:val="21"/>
                <w:szCs w:val="21"/>
                <w:highlight w:val="none"/>
              </w:rPr>
            </w:pPr>
            <w:r>
              <w:rPr>
                <w:rFonts w:hAnsi="宋体"/>
                <w:color w:val="auto"/>
                <w:sz w:val="21"/>
                <w:szCs w:val="21"/>
                <w:highlight w:val="none"/>
              </w:rPr>
              <w:t>本项最高得</w:t>
            </w:r>
            <w:r>
              <w:rPr>
                <w:rFonts w:hint="eastAsia" w:hAnsi="宋体"/>
                <w:strike w:val="0"/>
                <w:dstrike w:val="0"/>
                <w:color w:val="auto"/>
                <w:sz w:val="21"/>
                <w:szCs w:val="21"/>
                <w:highlight w:val="none"/>
                <w:lang w:val="en-US" w:eastAsia="zh-CN"/>
              </w:rPr>
              <w:t>6</w:t>
            </w:r>
            <w:r>
              <w:rPr>
                <w:rFonts w:hAnsi="宋体"/>
                <w:color w:val="auto"/>
                <w:sz w:val="21"/>
                <w:szCs w:val="21"/>
                <w:highlight w:val="none"/>
              </w:rPr>
              <w:t>分。</w:t>
            </w:r>
          </w:p>
          <w:p>
            <w:pPr>
              <w:widowControl/>
              <w:spacing w:line="360" w:lineRule="auto"/>
              <w:rPr>
                <w:rFonts w:hint="eastAsia" w:hAnsi="宋体" w:cs="宋体"/>
                <w:color w:val="auto"/>
                <w:sz w:val="21"/>
                <w:szCs w:val="21"/>
                <w:highlight w:val="none"/>
              </w:rPr>
            </w:pPr>
            <w:r>
              <w:rPr>
                <w:rFonts w:hAnsi="宋体"/>
                <w:color w:val="auto"/>
                <w:sz w:val="21"/>
                <w:szCs w:val="21"/>
                <w:highlight w:val="none"/>
              </w:rPr>
              <w:t>[注：①颁发单位包括行政区政府、建设行政主管部门或行业协会（学会）；②获奖时间以获奖证书颁发时间或网上公示获奖时间为准；③需提供获奖证书复印件或网上公示获奖页面截图凭证，得奖项目按高分项只计算一次、不重复计分</w:t>
            </w:r>
            <w:r>
              <w:rPr>
                <w:rFonts w:hint="eastAsia" w:hAnsi="宋体"/>
                <w:color w:val="auto"/>
                <w:sz w:val="21"/>
                <w:szCs w:val="21"/>
                <w:highlight w:val="none"/>
              </w:rPr>
              <w:t>。</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14"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4</w:t>
            </w:r>
          </w:p>
        </w:tc>
        <w:tc>
          <w:tcPr>
            <w:tcW w:w="1730"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s="宋体"/>
                <w:color w:val="auto"/>
                <w:sz w:val="21"/>
                <w:szCs w:val="21"/>
                <w:highlight w:val="none"/>
              </w:rPr>
              <w:t>企业业绩</w:t>
            </w:r>
          </w:p>
        </w:tc>
        <w:tc>
          <w:tcPr>
            <w:tcW w:w="846" w:type="dxa"/>
            <w:tcBorders>
              <w:top w:val="single" w:color="auto" w:sz="4" w:space="0"/>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s="仿宋"/>
                <w:color w:val="auto"/>
                <w:sz w:val="21"/>
                <w:szCs w:val="21"/>
                <w:highlight w:val="none"/>
              </w:rPr>
              <w:t>12分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Ansi="宋体"/>
                <w:color w:val="auto"/>
                <w:sz w:val="21"/>
                <w:szCs w:val="21"/>
                <w:highlight w:val="none"/>
              </w:rPr>
            </w:pPr>
            <w:r>
              <w:rPr>
                <w:rFonts w:hAnsi="宋体"/>
                <w:color w:val="auto"/>
                <w:sz w:val="21"/>
                <w:szCs w:val="21"/>
                <w:highlight w:val="none"/>
              </w:rPr>
              <w:t>投标单位自2015年0</w:t>
            </w:r>
            <w:r>
              <w:rPr>
                <w:rFonts w:hint="eastAsia" w:hAnsi="宋体"/>
                <w:color w:val="auto"/>
                <w:sz w:val="21"/>
                <w:szCs w:val="21"/>
                <w:highlight w:val="none"/>
              </w:rPr>
              <w:t>7</w:t>
            </w:r>
            <w:r>
              <w:rPr>
                <w:rFonts w:hAnsi="宋体"/>
                <w:color w:val="auto"/>
                <w:sz w:val="21"/>
                <w:szCs w:val="21"/>
                <w:highlight w:val="none"/>
              </w:rPr>
              <w:t>月至01日至2021年0</w:t>
            </w:r>
            <w:r>
              <w:rPr>
                <w:rFonts w:hint="eastAsia" w:hAnsi="宋体"/>
                <w:color w:val="auto"/>
                <w:sz w:val="21"/>
                <w:szCs w:val="21"/>
                <w:highlight w:val="none"/>
              </w:rPr>
              <w:t>7</w:t>
            </w:r>
            <w:r>
              <w:rPr>
                <w:rFonts w:hAnsi="宋体"/>
                <w:color w:val="auto"/>
                <w:sz w:val="21"/>
                <w:szCs w:val="21"/>
                <w:highlight w:val="none"/>
              </w:rPr>
              <w:t>月01日承接过</w:t>
            </w:r>
            <w:r>
              <w:rPr>
                <w:rFonts w:hint="eastAsia" w:hAnsi="宋体"/>
                <w:color w:val="auto"/>
                <w:sz w:val="21"/>
                <w:szCs w:val="21"/>
                <w:highlight w:val="none"/>
              </w:rPr>
              <w:t>建筑</w:t>
            </w:r>
            <w:r>
              <w:rPr>
                <w:rFonts w:hAnsi="宋体"/>
                <w:color w:val="auto"/>
                <w:sz w:val="21"/>
                <w:szCs w:val="21"/>
                <w:highlight w:val="none"/>
              </w:rPr>
              <w:t>高度超过100米的</w:t>
            </w:r>
            <w:r>
              <w:rPr>
                <w:rFonts w:hint="eastAsia" w:hAnsi="宋体" w:cs="宋体"/>
                <w:color w:val="auto"/>
                <w:sz w:val="21"/>
                <w:szCs w:val="21"/>
                <w:highlight w:val="none"/>
              </w:rPr>
              <w:t>超高层建筑</w:t>
            </w:r>
            <w:r>
              <w:rPr>
                <w:rFonts w:hAnsi="宋体"/>
                <w:color w:val="auto"/>
                <w:sz w:val="21"/>
                <w:szCs w:val="21"/>
                <w:highlight w:val="none"/>
              </w:rPr>
              <w:t>工程造价咨询服务的每个得</w:t>
            </w:r>
            <w:r>
              <w:rPr>
                <w:rFonts w:hint="eastAsia" w:hAnsi="宋体"/>
                <w:color w:val="auto"/>
                <w:sz w:val="21"/>
                <w:szCs w:val="21"/>
                <w:highlight w:val="none"/>
              </w:rPr>
              <w:t>4</w:t>
            </w:r>
            <w:r>
              <w:rPr>
                <w:rFonts w:hAnsi="宋体"/>
                <w:color w:val="auto"/>
                <w:sz w:val="21"/>
                <w:szCs w:val="21"/>
                <w:highlight w:val="none"/>
              </w:rPr>
              <w:t>分，本项满分12分。</w:t>
            </w:r>
          </w:p>
          <w:p>
            <w:pPr>
              <w:spacing w:line="360" w:lineRule="auto"/>
              <w:rPr>
                <w:rFonts w:hint="eastAsia" w:hAnsi="宋体" w:cs="宋体"/>
                <w:color w:val="auto"/>
                <w:sz w:val="21"/>
                <w:szCs w:val="21"/>
                <w:highlight w:val="none"/>
              </w:rPr>
            </w:pPr>
            <w:r>
              <w:rPr>
                <w:rFonts w:hAnsi="宋体"/>
                <w:color w:val="auto"/>
                <w:sz w:val="21"/>
                <w:szCs w:val="21"/>
                <w:highlight w:val="none"/>
              </w:rPr>
              <w:t>注：①</w:t>
            </w:r>
            <w:r>
              <w:rPr>
                <w:rFonts w:hint="eastAsia" w:hAnsi="宋体"/>
                <w:color w:val="auto"/>
                <w:sz w:val="21"/>
                <w:szCs w:val="21"/>
                <w:highlight w:val="none"/>
              </w:rPr>
              <w:t>造价咨询业绩证明</w:t>
            </w:r>
            <w:r>
              <w:rPr>
                <w:rFonts w:hAnsi="宋体"/>
                <w:color w:val="auto"/>
                <w:sz w:val="21"/>
                <w:szCs w:val="21"/>
                <w:highlight w:val="none"/>
              </w:rPr>
              <w:t>资料须提供</w:t>
            </w:r>
            <w:r>
              <w:rPr>
                <w:rFonts w:hint="eastAsia" w:hAnsi="宋体"/>
                <w:color w:val="auto"/>
                <w:sz w:val="21"/>
                <w:szCs w:val="21"/>
                <w:highlight w:val="none"/>
              </w:rPr>
              <w:t>咨询合同（或协议书）关键页复印件，及与项目相关的发票或完税证明等材料（张数不限）。</w:t>
            </w:r>
            <w:r>
              <w:rPr>
                <w:rFonts w:hAnsi="宋体"/>
                <w:color w:val="auto"/>
                <w:sz w:val="21"/>
                <w:szCs w:val="21"/>
                <w:highlight w:val="none"/>
              </w:rPr>
              <w:t>②</w:t>
            </w:r>
            <w:r>
              <w:rPr>
                <w:rFonts w:hint="eastAsia" w:hAnsi="宋体"/>
                <w:color w:val="auto"/>
                <w:sz w:val="21"/>
                <w:szCs w:val="21"/>
                <w:highlight w:val="none"/>
              </w:rPr>
              <w:t>咨询业绩以咨询合同（或协议书）签订时间为准。③如</w:t>
            </w:r>
            <w:r>
              <w:rPr>
                <w:rFonts w:hAnsi="宋体"/>
                <w:color w:val="auto"/>
                <w:sz w:val="21"/>
                <w:szCs w:val="21"/>
                <w:highlight w:val="none"/>
              </w:rPr>
              <w:t>提供的</w:t>
            </w:r>
            <w:r>
              <w:rPr>
                <w:rFonts w:hint="eastAsia" w:hAnsi="宋体"/>
                <w:color w:val="auto"/>
                <w:sz w:val="21"/>
                <w:szCs w:val="21"/>
                <w:highlight w:val="none"/>
              </w:rPr>
              <w:t>咨询合同（或协议书）无法</w:t>
            </w:r>
            <w:r>
              <w:rPr>
                <w:rFonts w:hAnsi="宋体"/>
                <w:color w:val="auto"/>
                <w:sz w:val="21"/>
                <w:szCs w:val="21"/>
                <w:highlight w:val="none"/>
              </w:rPr>
              <w:t>显示</w:t>
            </w:r>
            <w:r>
              <w:rPr>
                <w:rFonts w:hint="eastAsia" w:hAnsi="宋体"/>
                <w:color w:val="auto"/>
                <w:sz w:val="21"/>
                <w:szCs w:val="21"/>
                <w:highlight w:val="none"/>
              </w:rPr>
              <w:t>建筑</w:t>
            </w:r>
            <w:r>
              <w:rPr>
                <w:rFonts w:hAnsi="宋体"/>
                <w:color w:val="auto"/>
                <w:sz w:val="21"/>
                <w:szCs w:val="21"/>
                <w:highlight w:val="none"/>
              </w:rPr>
              <w:t>物高度</w:t>
            </w:r>
            <w:r>
              <w:rPr>
                <w:rFonts w:hint="eastAsia" w:hAnsi="宋体"/>
                <w:color w:val="auto"/>
                <w:sz w:val="21"/>
                <w:szCs w:val="21"/>
                <w:highlight w:val="none"/>
              </w:rPr>
              <w:t>的，可提供投标人另行出具的</w:t>
            </w:r>
            <w:r>
              <w:rPr>
                <w:rFonts w:hAnsi="宋体"/>
                <w:color w:val="auto"/>
                <w:sz w:val="21"/>
                <w:szCs w:val="21"/>
                <w:highlight w:val="none"/>
              </w:rPr>
              <w:t>有效证明材料复印件</w:t>
            </w:r>
            <w:r>
              <w:rPr>
                <w:rFonts w:hint="eastAsia" w:hAnsi="宋体"/>
                <w:color w:val="auto"/>
                <w:sz w:val="21"/>
                <w:szCs w:val="21"/>
                <w:highlight w:val="none"/>
              </w:rPr>
              <w:t>。④同一项目的业绩不能重复计分，如重复时按高分值计取。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14" w:type="dxa"/>
            <w:tcBorders>
              <w:left w:val="single" w:color="auto" w:sz="4" w:space="0"/>
              <w:bottom w:val="single" w:color="auto" w:sz="4" w:space="0"/>
              <w:right w:val="single" w:color="auto" w:sz="4" w:space="0"/>
            </w:tcBorders>
            <w:noWrap/>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5</w:t>
            </w:r>
          </w:p>
        </w:tc>
        <w:tc>
          <w:tcPr>
            <w:tcW w:w="1730" w:type="dxa"/>
            <w:tcBorders>
              <w:left w:val="single" w:color="auto" w:sz="4" w:space="0"/>
              <w:bottom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拟派从事本项目服务人员情况</w:t>
            </w:r>
          </w:p>
        </w:tc>
        <w:tc>
          <w:tcPr>
            <w:tcW w:w="846" w:type="dxa"/>
            <w:tcBorders>
              <w:left w:val="single" w:color="auto" w:sz="4" w:space="0"/>
              <w:bottom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14分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Ansi="宋体"/>
                <w:color w:val="auto"/>
                <w:sz w:val="21"/>
                <w:szCs w:val="21"/>
                <w:highlight w:val="none"/>
              </w:rPr>
            </w:pPr>
            <w:r>
              <w:rPr>
                <w:rFonts w:hAnsi="宋体"/>
                <w:color w:val="auto"/>
                <w:sz w:val="21"/>
                <w:szCs w:val="21"/>
                <w:highlight w:val="none"/>
              </w:rPr>
              <w:t>（1）拟派项目负责人：</w:t>
            </w:r>
          </w:p>
          <w:p>
            <w:pPr>
              <w:spacing w:line="360" w:lineRule="auto"/>
              <w:rPr>
                <w:rFonts w:hAnsi="宋体"/>
                <w:color w:val="auto"/>
                <w:sz w:val="21"/>
                <w:szCs w:val="21"/>
                <w:highlight w:val="none"/>
              </w:rPr>
            </w:pPr>
            <w:r>
              <w:rPr>
                <w:rFonts w:hAnsi="宋体"/>
                <w:color w:val="auto"/>
                <w:sz w:val="21"/>
                <w:szCs w:val="21"/>
                <w:highlight w:val="none"/>
              </w:rPr>
              <w:t>①具备高级（或以上）职称的得</w:t>
            </w:r>
            <w:r>
              <w:rPr>
                <w:rFonts w:hint="eastAsia" w:hAnsi="宋体"/>
                <w:color w:val="auto"/>
                <w:sz w:val="21"/>
                <w:szCs w:val="21"/>
                <w:highlight w:val="none"/>
              </w:rPr>
              <w:t>2</w:t>
            </w:r>
            <w:r>
              <w:rPr>
                <w:rFonts w:hAnsi="宋体"/>
                <w:color w:val="auto"/>
                <w:sz w:val="21"/>
                <w:szCs w:val="21"/>
                <w:highlight w:val="none"/>
              </w:rPr>
              <w:t>分；</w:t>
            </w:r>
          </w:p>
          <w:p>
            <w:pPr>
              <w:spacing w:line="360" w:lineRule="auto"/>
              <w:rPr>
                <w:rFonts w:hAnsi="宋体"/>
                <w:color w:val="auto"/>
                <w:sz w:val="21"/>
                <w:szCs w:val="21"/>
                <w:highlight w:val="none"/>
              </w:rPr>
            </w:pPr>
            <w:r>
              <w:rPr>
                <w:rFonts w:hAnsi="宋体"/>
                <w:color w:val="auto"/>
                <w:sz w:val="21"/>
                <w:szCs w:val="21"/>
                <w:highlight w:val="none"/>
              </w:rPr>
              <w:t>②具有省级或以上造价主管部门专家或协会资深会员</w:t>
            </w:r>
            <w:r>
              <w:rPr>
                <w:rFonts w:hint="eastAsia" w:hAnsi="宋体"/>
                <w:color w:val="auto"/>
                <w:sz w:val="21"/>
                <w:szCs w:val="21"/>
                <w:highlight w:val="none"/>
              </w:rPr>
              <w:t>或优秀造价师</w:t>
            </w:r>
            <w:r>
              <w:rPr>
                <w:rFonts w:hAnsi="宋体"/>
                <w:color w:val="auto"/>
                <w:sz w:val="21"/>
                <w:szCs w:val="21"/>
                <w:highlight w:val="none"/>
              </w:rPr>
              <w:t>的得2分；具有市级造价主管部门专家或协会专家库专家的得1分；</w:t>
            </w:r>
          </w:p>
          <w:p>
            <w:pPr>
              <w:spacing w:line="360" w:lineRule="auto"/>
              <w:rPr>
                <w:rFonts w:hAnsi="宋体"/>
                <w:color w:val="auto"/>
                <w:sz w:val="21"/>
                <w:szCs w:val="21"/>
                <w:highlight w:val="none"/>
              </w:rPr>
            </w:pPr>
            <w:r>
              <w:rPr>
                <w:rFonts w:hAnsi="宋体"/>
                <w:color w:val="auto"/>
                <w:sz w:val="21"/>
                <w:szCs w:val="21"/>
                <w:highlight w:val="none"/>
              </w:rPr>
              <w:t>本分项最高得</w:t>
            </w:r>
            <w:r>
              <w:rPr>
                <w:rFonts w:hint="eastAsia" w:hAnsi="宋体"/>
                <w:color w:val="auto"/>
                <w:sz w:val="21"/>
                <w:szCs w:val="21"/>
                <w:highlight w:val="none"/>
              </w:rPr>
              <w:t xml:space="preserve">4 </w:t>
            </w:r>
            <w:r>
              <w:rPr>
                <w:rFonts w:hAnsi="宋体"/>
                <w:color w:val="auto"/>
                <w:sz w:val="21"/>
                <w:szCs w:val="21"/>
                <w:highlight w:val="none"/>
              </w:rPr>
              <w:t>分。</w:t>
            </w:r>
          </w:p>
          <w:p>
            <w:pPr>
              <w:spacing w:line="360" w:lineRule="auto"/>
              <w:rPr>
                <w:rFonts w:hAnsi="宋体"/>
                <w:color w:val="auto"/>
                <w:sz w:val="21"/>
                <w:szCs w:val="21"/>
                <w:highlight w:val="none"/>
              </w:rPr>
            </w:pPr>
            <w:r>
              <w:rPr>
                <w:rFonts w:hAnsi="宋体"/>
                <w:color w:val="auto"/>
                <w:sz w:val="21"/>
                <w:szCs w:val="21"/>
                <w:highlight w:val="none"/>
              </w:rPr>
              <w:t>（2）拟派专业负责人同时</w:t>
            </w:r>
            <w:r>
              <w:rPr>
                <w:rFonts w:hint="eastAsia" w:hAnsi="宋体"/>
                <w:color w:val="auto"/>
                <w:sz w:val="21"/>
                <w:szCs w:val="21"/>
                <w:highlight w:val="none"/>
              </w:rPr>
              <w:t>具备</w:t>
            </w:r>
            <w:r>
              <w:rPr>
                <w:rFonts w:hAnsi="宋体"/>
                <w:color w:val="auto"/>
                <w:sz w:val="21"/>
                <w:szCs w:val="21"/>
                <w:highlight w:val="none"/>
              </w:rPr>
              <w:t>注册造价工程师</w:t>
            </w:r>
            <w:r>
              <w:rPr>
                <w:rFonts w:hint="eastAsia" w:hAnsi="宋体"/>
                <w:color w:val="auto"/>
                <w:sz w:val="21"/>
                <w:szCs w:val="21"/>
                <w:highlight w:val="none"/>
              </w:rPr>
              <w:t>（含一、二级注册造价工程师并注册在投标人本单位）</w:t>
            </w:r>
            <w:r>
              <w:rPr>
                <w:rFonts w:hAnsi="宋体"/>
                <w:color w:val="auto"/>
                <w:sz w:val="21"/>
                <w:szCs w:val="21"/>
                <w:highlight w:val="none"/>
              </w:rPr>
              <w:t>和高级（或以上）职称的每人得</w:t>
            </w:r>
            <w:r>
              <w:rPr>
                <w:rFonts w:hint="eastAsia" w:hAnsi="宋体"/>
                <w:color w:val="auto"/>
                <w:sz w:val="21"/>
                <w:szCs w:val="21"/>
                <w:highlight w:val="none"/>
              </w:rPr>
              <w:t>2</w:t>
            </w:r>
            <w:r>
              <w:rPr>
                <w:rFonts w:hAnsi="宋体"/>
                <w:color w:val="auto"/>
                <w:sz w:val="21"/>
                <w:szCs w:val="21"/>
                <w:highlight w:val="none"/>
              </w:rPr>
              <w:t>分，本分项最高得</w:t>
            </w:r>
            <w:r>
              <w:rPr>
                <w:rFonts w:hint="eastAsia" w:hAnsi="宋体"/>
                <w:color w:val="auto"/>
                <w:sz w:val="21"/>
                <w:szCs w:val="21"/>
                <w:highlight w:val="none"/>
              </w:rPr>
              <w:t>4</w:t>
            </w:r>
            <w:r>
              <w:rPr>
                <w:rFonts w:hAnsi="宋体"/>
                <w:color w:val="auto"/>
                <w:sz w:val="21"/>
                <w:szCs w:val="21"/>
                <w:highlight w:val="none"/>
              </w:rPr>
              <w:t>分。</w:t>
            </w:r>
          </w:p>
          <w:p>
            <w:pPr>
              <w:spacing w:line="360" w:lineRule="auto"/>
              <w:rPr>
                <w:rFonts w:hint="eastAsia" w:hAnsi="宋体" w:cs="宋体"/>
                <w:color w:val="auto"/>
                <w:sz w:val="21"/>
                <w:szCs w:val="21"/>
                <w:highlight w:val="none"/>
              </w:rPr>
            </w:pPr>
            <w:r>
              <w:rPr>
                <w:rFonts w:hAnsi="宋体"/>
                <w:color w:val="auto"/>
                <w:sz w:val="21"/>
                <w:szCs w:val="21"/>
                <w:highlight w:val="none"/>
              </w:rPr>
              <w:t>（3）拟派造价人员具有注册造价工程师</w:t>
            </w:r>
            <w:r>
              <w:rPr>
                <w:rFonts w:hint="eastAsia" w:hAnsi="宋体"/>
                <w:color w:val="auto"/>
                <w:sz w:val="21"/>
                <w:szCs w:val="21"/>
                <w:highlight w:val="none"/>
              </w:rPr>
              <w:t>（含一、二级注册造价工程师并注册在投标人本单位）</w:t>
            </w:r>
            <w:r>
              <w:rPr>
                <w:rFonts w:hAnsi="宋体"/>
                <w:color w:val="auto"/>
                <w:sz w:val="21"/>
                <w:szCs w:val="21"/>
                <w:highlight w:val="none"/>
              </w:rPr>
              <w:t>的，每人得1</w:t>
            </w:r>
            <w:r>
              <w:rPr>
                <w:rFonts w:hint="eastAsia" w:hAnsi="宋体"/>
                <w:color w:val="auto"/>
                <w:sz w:val="21"/>
                <w:szCs w:val="21"/>
                <w:highlight w:val="none"/>
              </w:rPr>
              <w:t>.5</w:t>
            </w:r>
            <w:r>
              <w:rPr>
                <w:rFonts w:hAnsi="宋体"/>
                <w:color w:val="auto"/>
                <w:sz w:val="21"/>
                <w:szCs w:val="21"/>
                <w:highlight w:val="none"/>
              </w:rPr>
              <w:t>分，本分项最高得</w:t>
            </w:r>
            <w:r>
              <w:rPr>
                <w:rFonts w:hint="eastAsia" w:hAnsi="宋体"/>
                <w:color w:val="auto"/>
                <w:sz w:val="21"/>
                <w:szCs w:val="21"/>
                <w:highlight w:val="none"/>
              </w:rPr>
              <w:t>6</w:t>
            </w:r>
            <w:r>
              <w:rPr>
                <w:rFonts w:hAnsi="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285" w:type="dxa"/>
            <w:gridSpan w:val="4"/>
            <w:tcBorders>
              <w:left w:val="single" w:color="auto" w:sz="4" w:space="0"/>
              <w:bottom w:val="single" w:color="auto" w:sz="4" w:space="0"/>
              <w:right w:val="single" w:color="auto" w:sz="4" w:space="0"/>
            </w:tcBorders>
            <w:noWrap/>
            <w:vAlign w:val="center"/>
          </w:tcPr>
          <w:p>
            <w:pPr>
              <w:spacing w:line="360" w:lineRule="auto"/>
              <w:jc w:val="center"/>
              <w:rPr>
                <w:rFonts w:hAnsi="宋体"/>
                <w:color w:val="auto"/>
                <w:sz w:val="21"/>
                <w:szCs w:val="21"/>
                <w:highlight w:val="none"/>
              </w:rPr>
            </w:pPr>
            <w:r>
              <w:rPr>
                <w:rFonts w:hint="eastAsia" w:hAnsi="宋体"/>
                <w:b/>
                <w:color w:val="auto"/>
                <w:sz w:val="21"/>
                <w:szCs w:val="21"/>
                <w:highlight w:val="none"/>
              </w:rPr>
              <w:t>技术评分（50分）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right w:val="single" w:color="auto" w:sz="4" w:space="0"/>
            </w:tcBorders>
            <w:noWrap/>
            <w:vAlign w:val="center"/>
          </w:tcPr>
          <w:p>
            <w:pPr>
              <w:jc w:val="center"/>
              <w:rPr>
                <w:rFonts w:hint="eastAsia" w:hAnsi="宋体"/>
                <w:color w:val="auto"/>
                <w:sz w:val="21"/>
                <w:szCs w:val="21"/>
                <w:highlight w:val="none"/>
              </w:rPr>
            </w:pPr>
            <w:r>
              <w:rPr>
                <w:rFonts w:hint="eastAsia" w:hAnsi="宋体"/>
                <w:color w:val="auto"/>
                <w:sz w:val="21"/>
                <w:szCs w:val="21"/>
                <w:highlight w:val="none"/>
              </w:rPr>
              <w:t>1</w:t>
            </w:r>
          </w:p>
        </w:tc>
        <w:tc>
          <w:tcPr>
            <w:tcW w:w="1730"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组织与管理</w:t>
            </w:r>
          </w:p>
        </w:tc>
        <w:tc>
          <w:tcPr>
            <w:tcW w:w="846"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Ansi="宋体"/>
                <w:color w:val="auto"/>
                <w:sz w:val="21"/>
                <w:szCs w:val="21"/>
                <w:highlight w:val="none"/>
              </w:rPr>
              <w:t>0-</w:t>
            </w:r>
            <w:r>
              <w:rPr>
                <w:rFonts w:hint="eastAsia" w:hAnsi="宋体"/>
                <w:color w:val="auto"/>
                <w:sz w:val="21"/>
                <w:szCs w:val="21"/>
                <w:highlight w:val="none"/>
              </w:rPr>
              <w:t>5分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s="宋体"/>
                <w:color w:val="auto"/>
                <w:sz w:val="21"/>
                <w:szCs w:val="21"/>
                <w:highlight w:val="none"/>
              </w:rPr>
            </w:pPr>
            <w:r>
              <w:rPr>
                <w:rFonts w:hint="eastAsia" w:hAnsi="宋体"/>
                <w:color w:val="auto"/>
                <w:sz w:val="21"/>
                <w:szCs w:val="21"/>
                <w:highlight w:val="none"/>
              </w:rPr>
              <w:t>依据投标人所提供的方案中组织合理程度、管理到位情况等进行综合评价。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right w:val="single" w:color="auto" w:sz="4" w:space="0"/>
            </w:tcBorders>
            <w:noWrap/>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730"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项目重点、难点分析及解决方案</w:t>
            </w:r>
          </w:p>
        </w:tc>
        <w:tc>
          <w:tcPr>
            <w:tcW w:w="846"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Ansi="宋体"/>
                <w:color w:val="auto"/>
                <w:sz w:val="21"/>
                <w:szCs w:val="21"/>
                <w:highlight w:val="none"/>
              </w:rPr>
              <w:t>0-</w:t>
            </w:r>
            <w:r>
              <w:rPr>
                <w:rFonts w:hint="eastAsia" w:hAnsi="宋体"/>
                <w:color w:val="auto"/>
                <w:sz w:val="21"/>
                <w:szCs w:val="21"/>
                <w:highlight w:val="none"/>
              </w:rPr>
              <w:t>15分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s="宋体"/>
                <w:color w:val="auto"/>
                <w:sz w:val="21"/>
                <w:szCs w:val="21"/>
                <w:highlight w:val="none"/>
              </w:rPr>
            </w:pPr>
            <w:r>
              <w:rPr>
                <w:rFonts w:hint="eastAsia" w:hAnsi="宋体"/>
                <w:color w:val="auto"/>
                <w:sz w:val="21"/>
                <w:szCs w:val="21"/>
                <w:highlight w:val="none"/>
              </w:rPr>
              <w:t>依据项目重点、难点分析描述准确性</w:t>
            </w:r>
            <w:r>
              <w:rPr>
                <w:rFonts w:hAnsi="宋体"/>
                <w:color w:val="auto"/>
                <w:sz w:val="21"/>
                <w:szCs w:val="21"/>
                <w:highlight w:val="none"/>
              </w:rPr>
              <w:t>，</w:t>
            </w:r>
            <w:r>
              <w:rPr>
                <w:rFonts w:hint="eastAsia" w:hAnsi="宋体"/>
                <w:color w:val="auto"/>
                <w:sz w:val="21"/>
                <w:szCs w:val="21"/>
                <w:highlight w:val="none"/>
              </w:rPr>
              <w:t>是否有针对性措施等进行综合评价。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right w:val="single" w:color="auto" w:sz="4" w:space="0"/>
            </w:tcBorders>
            <w:noWrap/>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1730"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工程造价编制进度控制方案</w:t>
            </w:r>
          </w:p>
        </w:tc>
        <w:tc>
          <w:tcPr>
            <w:tcW w:w="846"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Ansi="宋体"/>
                <w:color w:val="auto"/>
                <w:sz w:val="21"/>
                <w:szCs w:val="21"/>
                <w:highlight w:val="none"/>
              </w:rPr>
              <w:t>0-</w:t>
            </w:r>
            <w:r>
              <w:rPr>
                <w:rFonts w:hint="eastAsia" w:hAnsi="宋体"/>
                <w:color w:val="auto"/>
                <w:sz w:val="21"/>
                <w:szCs w:val="21"/>
                <w:highlight w:val="none"/>
              </w:rPr>
              <w:t>10分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s="宋体"/>
                <w:color w:val="auto"/>
                <w:sz w:val="21"/>
                <w:szCs w:val="21"/>
                <w:highlight w:val="none"/>
              </w:rPr>
            </w:pPr>
            <w:r>
              <w:rPr>
                <w:rFonts w:hint="eastAsia" w:hAnsi="宋体"/>
                <w:color w:val="auto"/>
                <w:sz w:val="21"/>
                <w:szCs w:val="21"/>
                <w:highlight w:val="none"/>
              </w:rPr>
              <w:t>依据投标人所提供的造价咨询服务方案，是否清晰、准确、可操作性强等进行综合</w:t>
            </w:r>
            <w:r>
              <w:rPr>
                <w:rFonts w:hAnsi="宋体"/>
                <w:color w:val="auto"/>
                <w:sz w:val="21"/>
                <w:szCs w:val="21"/>
                <w:highlight w:val="none"/>
              </w:rPr>
              <w:t>评价</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right w:val="single" w:color="auto" w:sz="4" w:space="0"/>
            </w:tcBorders>
            <w:noWrap/>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1730"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int="eastAsia" w:hAnsi="宋体"/>
                <w:color w:val="auto"/>
                <w:sz w:val="21"/>
                <w:szCs w:val="21"/>
                <w:highlight w:val="none"/>
              </w:rPr>
              <w:t>工程造价编制质量控制方案</w:t>
            </w:r>
          </w:p>
        </w:tc>
        <w:tc>
          <w:tcPr>
            <w:tcW w:w="846"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Ansi="宋体"/>
                <w:color w:val="auto"/>
                <w:sz w:val="21"/>
                <w:szCs w:val="21"/>
                <w:highlight w:val="none"/>
              </w:rPr>
              <w:t>0-</w:t>
            </w:r>
            <w:r>
              <w:rPr>
                <w:rFonts w:hint="eastAsia" w:hAnsi="宋体"/>
                <w:color w:val="auto"/>
                <w:sz w:val="21"/>
                <w:szCs w:val="21"/>
                <w:highlight w:val="none"/>
              </w:rPr>
              <w:t>10分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s="宋体"/>
                <w:color w:val="auto"/>
                <w:sz w:val="21"/>
                <w:szCs w:val="21"/>
                <w:highlight w:val="none"/>
              </w:rPr>
            </w:pPr>
            <w:r>
              <w:rPr>
                <w:rFonts w:hint="eastAsia" w:hAnsi="宋体"/>
                <w:color w:val="auto"/>
                <w:sz w:val="21"/>
                <w:szCs w:val="21"/>
                <w:highlight w:val="none"/>
              </w:rPr>
              <w:t>依据投标人所提供的造价咨询服务方案，是否清晰、准确、可操作性强等进行综合</w:t>
            </w:r>
            <w:r>
              <w:rPr>
                <w:rFonts w:hAnsi="宋体"/>
                <w:color w:val="auto"/>
                <w:sz w:val="21"/>
                <w:szCs w:val="21"/>
                <w:highlight w:val="none"/>
              </w:rPr>
              <w:t>评价</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right w:val="single" w:color="auto" w:sz="4" w:space="0"/>
            </w:tcBorders>
            <w:noWrap/>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1730" w:type="dxa"/>
            <w:tcBorders>
              <w:left w:val="single" w:color="auto" w:sz="4" w:space="0"/>
              <w:right w:val="single" w:color="auto" w:sz="4" w:space="0"/>
            </w:tcBorders>
            <w:noWrap/>
            <w:vAlign w:val="center"/>
          </w:tcPr>
          <w:p>
            <w:pPr>
              <w:pStyle w:val="151"/>
              <w:spacing w:line="360" w:lineRule="auto"/>
              <w:rPr>
                <w:rFonts w:hint="eastAsia" w:ascii="宋体" w:eastAsia="宋体" w:cs="宋体"/>
                <w:color w:val="auto"/>
                <w:sz w:val="21"/>
                <w:szCs w:val="21"/>
                <w:highlight w:val="none"/>
              </w:rPr>
            </w:pPr>
            <w:r>
              <w:rPr>
                <w:rFonts w:hint="eastAsia" w:ascii="宋体" w:eastAsia="宋体"/>
                <w:color w:val="auto"/>
                <w:sz w:val="21"/>
                <w:szCs w:val="21"/>
                <w:highlight w:val="none"/>
              </w:rPr>
              <w:t>合理化建议</w:t>
            </w:r>
          </w:p>
        </w:tc>
        <w:tc>
          <w:tcPr>
            <w:tcW w:w="846" w:type="dxa"/>
            <w:tcBorders>
              <w:left w:val="single" w:color="auto" w:sz="4" w:space="0"/>
              <w:right w:val="single" w:color="auto" w:sz="4" w:space="0"/>
            </w:tcBorders>
            <w:noWrap/>
            <w:vAlign w:val="center"/>
          </w:tcPr>
          <w:p>
            <w:pPr>
              <w:spacing w:line="360" w:lineRule="auto"/>
              <w:jc w:val="center"/>
              <w:rPr>
                <w:rFonts w:hint="eastAsia" w:hAnsi="宋体" w:cs="宋体"/>
                <w:color w:val="auto"/>
                <w:sz w:val="21"/>
                <w:szCs w:val="21"/>
                <w:highlight w:val="none"/>
              </w:rPr>
            </w:pPr>
            <w:r>
              <w:rPr>
                <w:rFonts w:hAnsi="宋体"/>
                <w:color w:val="auto"/>
                <w:sz w:val="21"/>
                <w:szCs w:val="21"/>
                <w:highlight w:val="none"/>
              </w:rPr>
              <w:t>0-</w:t>
            </w:r>
            <w:r>
              <w:rPr>
                <w:rFonts w:hint="eastAsia" w:hAnsi="宋体"/>
                <w:color w:val="auto"/>
                <w:sz w:val="21"/>
                <w:szCs w:val="21"/>
                <w:highlight w:val="none"/>
              </w:rPr>
              <w:t>10分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s="宋体"/>
                <w:color w:val="auto"/>
                <w:sz w:val="21"/>
                <w:szCs w:val="21"/>
                <w:highlight w:val="none"/>
              </w:rPr>
            </w:pPr>
            <w:r>
              <w:rPr>
                <w:rFonts w:hint="eastAsia" w:hAnsi="宋体"/>
                <w:color w:val="auto"/>
                <w:sz w:val="21"/>
                <w:szCs w:val="21"/>
                <w:highlight w:val="none"/>
              </w:rPr>
              <w:t>依据投标人所提出的合理化建议进行综合</w:t>
            </w:r>
            <w:r>
              <w:rPr>
                <w:rFonts w:hAnsi="宋体"/>
                <w:color w:val="auto"/>
                <w:sz w:val="21"/>
                <w:szCs w:val="21"/>
                <w:highlight w:val="none"/>
              </w:rPr>
              <w:t>评价</w:t>
            </w: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5" w:type="dxa"/>
            <w:gridSpan w:val="4"/>
            <w:tcBorders>
              <w:left w:val="single" w:color="auto" w:sz="4" w:space="0"/>
              <w:right w:val="single" w:color="auto" w:sz="4" w:space="0"/>
            </w:tcBorders>
            <w:noWrap/>
            <w:vAlign w:val="center"/>
          </w:tcPr>
          <w:p>
            <w:pPr>
              <w:pStyle w:val="82"/>
              <w:spacing w:line="240" w:lineRule="auto"/>
              <w:ind w:firstLine="0" w:firstLineChars="0"/>
              <w:jc w:val="center"/>
              <w:rPr>
                <w:rFonts w:hint="eastAsia" w:ascii="宋体"/>
                <w:color w:val="auto"/>
                <w:sz w:val="21"/>
                <w:szCs w:val="21"/>
                <w:highlight w:val="none"/>
              </w:rPr>
            </w:pPr>
            <w:r>
              <w:rPr>
                <w:rFonts w:hint="eastAsia" w:ascii="宋体" w:eastAsia="宋体"/>
                <w:b/>
                <w:color w:val="auto"/>
                <w:kern w:val="0"/>
                <w:sz w:val="21"/>
                <w:szCs w:val="21"/>
                <w:highlight w:val="none"/>
              </w:rPr>
              <w:t>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14" w:type="dxa"/>
            <w:tcBorders>
              <w:left w:val="single" w:color="auto" w:sz="4" w:space="0"/>
              <w:bottom w:val="single" w:color="auto" w:sz="4" w:space="0"/>
              <w:right w:val="single" w:color="auto" w:sz="4" w:space="0"/>
            </w:tcBorders>
            <w:noWrap/>
            <w:vAlign w:val="center"/>
          </w:tcPr>
          <w:p>
            <w:pPr>
              <w:pStyle w:val="82"/>
              <w:spacing w:line="360" w:lineRule="auto"/>
              <w:ind w:firstLine="0" w:firstLineChars="0"/>
              <w:jc w:val="center"/>
              <w:rPr>
                <w:rFonts w:hint="eastAsia"/>
                <w:color w:val="auto"/>
                <w:sz w:val="21"/>
                <w:szCs w:val="21"/>
                <w:highlight w:val="none"/>
              </w:rPr>
            </w:pPr>
            <w:r>
              <w:rPr>
                <w:rFonts w:hint="eastAsia" w:ascii="宋体" w:eastAsia="宋体"/>
                <w:color w:val="auto"/>
                <w:kern w:val="0"/>
                <w:sz w:val="21"/>
                <w:szCs w:val="21"/>
                <w:highlight w:val="none"/>
              </w:rPr>
              <w:t>1</w:t>
            </w:r>
          </w:p>
        </w:tc>
        <w:tc>
          <w:tcPr>
            <w:tcW w:w="1730" w:type="dxa"/>
            <w:tcBorders>
              <w:left w:val="single" w:color="auto" w:sz="4" w:space="0"/>
              <w:bottom w:val="single" w:color="auto" w:sz="4" w:space="0"/>
              <w:right w:val="single" w:color="auto" w:sz="4" w:space="0"/>
            </w:tcBorders>
            <w:noWrap/>
            <w:vAlign w:val="center"/>
          </w:tcPr>
          <w:p>
            <w:pPr>
              <w:widowControl/>
              <w:autoSpaceDE/>
              <w:autoSpaceDN/>
              <w:adjustRightInd/>
              <w:spacing w:line="360" w:lineRule="auto"/>
              <w:jc w:val="center"/>
              <w:rPr>
                <w:rFonts w:hint="eastAsia"/>
                <w:color w:val="auto"/>
                <w:sz w:val="21"/>
                <w:szCs w:val="21"/>
                <w:highlight w:val="none"/>
              </w:rPr>
            </w:pPr>
            <w:r>
              <w:rPr>
                <w:rFonts w:hint="eastAsia" w:hAnsi="宋体"/>
                <w:color w:val="auto"/>
                <w:sz w:val="21"/>
                <w:szCs w:val="21"/>
                <w:highlight w:val="none"/>
              </w:rPr>
              <w:t>价格部分</w:t>
            </w:r>
          </w:p>
        </w:tc>
        <w:tc>
          <w:tcPr>
            <w:tcW w:w="846" w:type="dxa"/>
            <w:tcBorders>
              <w:left w:val="single" w:color="auto" w:sz="4" w:space="0"/>
              <w:bottom w:val="single" w:color="auto" w:sz="4" w:space="0"/>
              <w:right w:val="single" w:color="auto" w:sz="4" w:space="0"/>
            </w:tcBorders>
            <w:noWrap/>
            <w:vAlign w:val="center"/>
          </w:tcPr>
          <w:p>
            <w:pPr>
              <w:widowControl/>
              <w:autoSpaceDE/>
              <w:autoSpaceDN/>
              <w:adjustRightInd/>
              <w:spacing w:line="360" w:lineRule="auto"/>
              <w:jc w:val="center"/>
              <w:rPr>
                <w:rFonts w:hAnsi="宋体"/>
                <w:color w:val="auto"/>
                <w:sz w:val="21"/>
                <w:szCs w:val="21"/>
                <w:highlight w:val="none"/>
              </w:rPr>
            </w:pPr>
            <w:r>
              <w:rPr>
                <w:rFonts w:hint="eastAsia" w:hAnsi="宋体"/>
                <w:color w:val="auto"/>
                <w:sz w:val="21"/>
                <w:szCs w:val="21"/>
                <w:highlight w:val="none"/>
              </w:rPr>
              <w:t>10分</w:t>
            </w:r>
          </w:p>
        </w:tc>
        <w:tc>
          <w:tcPr>
            <w:tcW w:w="6095"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价格分计算方法：满足投标文件要求且投标价格（工程造价咨询服务收费系数）最低的投标报价为评标基准价，其价格分为满分。其他投标人的价格分统一按照下列公式计算：投标报价得分=(评标基准价／投标报价)×价格权重×100。</w:t>
            </w:r>
          </w:p>
        </w:tc>
      </w:tr>
    </w:tbl>
    <w:p>
      <w:pPr>
        <w:widowControl/>
        <w:tabs>
          <w:tab w:val="left" w:pos="907"/>
        </w:tabs>
        <w:snapToGrid w:val="0"/>
        <w:spacing w:line="360" w:lineRule="auto"/>
        <w:rPr>
          <w:rFonts w:hint="eastAsia" w:hAnsi="宋体" w:cs="宋体"/>
          <w:b/>
          <w:color w:val="auto"/>
          <w:sz w:val="21"/>
          <w:szCs w:val="21"/>
          <w:highlight w:val="none"/>
        </w:rPr>
      </w:pPr>
    </w:p>
    <w:p>
      <w:pPr>
        <w:widowControl/>
        <w:tabs>
          <w:tab w:val="left" w:pos="907"/>
        </w:tabs>
        <w:snapToGrid w:val="0"/>
        <w:spacing w:line="360" w:lineRule="auto"/>
        <w:rPr>
          <w:rFonts w:hint="eastAsia" w:hAnsi="宋体" w:cs="宋体"/>
          <w:b/>
          <w:color w:val="auto"/>
          <w:sz w:val="21"/>
          <w:szCs w:val="21"/>
          <w:highlight w:val="none"/>
        </w:rPr>
      </w:pPr>
      <w:r>
        <w:rPr>
          <w:rFonts w:hint="eastAsia" w:hAnsi="宋体" w:cs="宋体"/>
          <w:b/>
          <w:color w:val="auto"/>
          <w:sz w:val="21"/>
          <w:szCs w:val="21"/>
          <w:highlight w:val="none"/>
        </w:rPr>
        <w:t>注：</w:t>
      </w:r>
    </w:p>
    <w:p>
      <w:pPr>
        <w:widowControl/>
        <w:tabs>
          <w:tab w:val="left" w:pos="907"/>
        </w:tabs>
        <w:snapToGrid w:val="0"/>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（1）上证明文件均提供复印件加盖投标人公章，原件备查。</w:t>
      </w:r>
    </w:p>
    <w:p>
      <w:pPr>
        <w:widowControl/>
        <w:tabs>
          <w:tab w:val="left" w:pos="907"/>
        </w:tabs>
        <w:snapToGrid w:val="0"/>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（3）若中标将在发放中标通知书前逐一核对核查原件，请勿提供虚假、过期材料，否则将没收其投标保证金，并依据监督部门相关规定严肃处理，招标人保留追究一切法律责任的权利。</w:t>
      </w:r>
    </w:p>
    <w:p>
      <w:pPr>
        <w:widowControl/>
        <w:spacing w:line="360" w:lineRule="auto"/>
        <w:rPr>
          <w:rFonts w:hint="eastAsia" w:hAnsi="宋体" w:cs="宋体"/>
          <w:bCs/>
          <w:color w:val="auto"/>
          <w:sz w:val="21"/>
          <w:szCs w:val="21"/>
          <w:highlight w:val="none"/>
        </w:rPr>
      </w:pPr>
      <w:r>
        <w:rPr>
          <w:rFonts w:hint="eastAsia" w:hAnsi="宋体" w:cs="宋体"/>
          <w:bCs/>
          <w:color w:val="auto"/>
          <w:sz w:val="21"/>
          <w:szCs w:val="21"/>
          <w:highlight w:val="none"/>
        </w:rPr>
        <w:t>（4）其他说明：</w:t>
      </w:r>
    </w:p>
    <w:p>
      <w:pPr>
        <w:widowControl/>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①、财务状况以经独立第三方审计的财务审计报告及附表（资产负债表、利润表、现金流量表）为准。</w:t>
      </w:r>
    </w:p>
    <w:p>
      <w:pPr>
        <w:widowControl/>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②、拟派从事本项目造价服务人员需提供投标人企业近半年连续不少于三个月为其购买的社保证明材料（社保证明可以是招标项目公告或投标文件递交截止日前半年时间内连续不少于三个月的有效证明材料，可以是在投标人总公司或分公司的社保缴纳证明文件）。</w:t>
      </w:r>
    </w:p>
    <w:p>
      <w:pPr>
        <w:widowControl/>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③、企业获奖，①颁发单位包括行政区政府、建设行政主管部门或行业协会（学会）；②获奖时间以获奖证书颁发时间或网上公示获奖时间为准；③需提供获奖证书复印件或网上公示获奖页面截图凭证，得奖项目按高分项只计算一次、不重复计分。</w:t>
      </w:r>
    </w:p>
    <w:p>
      <w:pPr>
        <w:widowControl/>
        <w:spacing w:line="360" w:lineRule="auto"/>
        <w:ind w:firstLine="420" w:firstLineChars="200"/>
        <w:rPr>
          <w:rFonts w:hint="eastAsia" w:hAnsi="宋体" w:cs="宋体"/>
          <w:bCs/>
          <w:color w:val="auto"/>
          <w:sz w:val="21"/>
          <w:szCs w:val="21"/>
          <w:highlight w:val="none"/>
        </w:rPr>
      </w:pPr>
      <w:r>
        <w:rPr>
          <w:rFonts w:hint="eastAsia" w:hAnsi="宋体" w:cs="宋体"/>
          <w:bCs/>
          <w:color w:val="auto"/>
          <w:sz w:val="21"/>
          <w:szCs w:val="21"/>
          <w:highlight w:val="none"/>
        </w:rPr>
        <w:t>④、企业业绩，需提供造价咨询服务合同复印件（必有，合同委托方必须为建设方或政府部门）、与项目相关的发票、中标通知书（如有）复印件及反映造价咨询服务已完成（或者正在履约）的相关证明文件复印件作为证明材料，其中造价咨询服务已完成的相关证明文件以提供工程结算成果报告显示的结算时间（或者委托方出具的业主证明材料显示的完成时间）为准，正在履约的相关证明文件以提供造价咨询服务合同签订的时间为准。</w:t>
      </w:r>
    </w:p>
    <w:p>
      <w:pPr>
        <w:rPr>
          <w:rFonts w:hint="eastAsia"/>
          <w:color w:val="auto"/>
          <w:highlight w:val="none"/>
        </w:rPr>
      </w:pPr>
    </w:p>
    <w:p>
      <w:pPr>
        <w:widowControl/>
        <w:spacing w:line="360" w:lineRule="auto"/>
        <w:ind w:firstLine="420" w:firstLineChars="200"/>
        <w:rPr>
          <w:rFonts w:hint="eastAsia" w:hAnsi="宋体" w:cs="宋体"/>
          <w:bCs/>
          <w:color w:val="auto"/>
          <w:sz w:val="21"/>
          <w:szCs w:val="21"/>
          <w:highlight w:val="none"/>
        </w:rPr>
      </w:pPr>
      <w:bookmarkStart w:id="59" w:name="_Toc21306"/>
    </w:p>
    <w:p>
      <w:pPr>
        <w:rPr>
          <w:color w:val="auto"/>
          <w:highlight w:val="none"/>
        </w:rPr>
      </w:pPr>
    </w:p>
    <w:p>
      <w:pPr>
        <w:rPr>
          <w:color w:val="auto"/>
          <w:highlight w:val="none"/>
        </w:rPr>
      </w:pPr>
    </w:p>
    <w:p>
      <w:pPr>
        <w:rPr>
          <w:rFonts w:hint="eastAsia"/>
          <w:color w:val="auto"/>
          <w:highlight w:val="none"/>
        </w:rPr>
      </w:pPr>
    </w:p>
    <w:p>
      <w:pPr>
        <w:pStyle w:val="3"/>
        <w:keepNext/>
        <w:keepLines/>
        <w:pageBreakBefore/>
        <w:numPr>
          <w:ilvl w:val="0"/>
          <w:numId w:val="18"/>
        </w:numPr>
        <w:spacing w:line="360" w:lineRule="auto"/>
        <w:jc w:val="center"/>
        <w:rPr>
          <w:rFonts w:hint="eastAsia" w:hAnsi="宋体"/>
          <w:b/>
          <w:bCs/>
          <w:color w:val="auto"/>
          <w:kern w:val="44"/>
          <w:sz w:val="28"/>
          <w:szCs w:val="28"/>
          <w:highlight w:val="none"/>
          <w:lang w:val="zh-CN"/>
        </w:rPr>
      </w:pPr>
      <w:r>
        <w:rPr>
          <w:rFonts w:hint="eastAsia" w:hAnsi="宋体"/>
          <w:b/>
          <w:bCs/>
          <w:color w:val="auto"/>
          <w:kern w:val="44"/>
          <w:sz w:val="28"/>
          <w:szCs w:val="28"/>
          <w:highlight w:val="none"/>
        </w:rPr>
        <w:t xml:space="preserve"> </w:t>
      </w:r>
      <w:r>
        <w:rPr>
          <w:rFonts w:hint="eastAsia" w:hAnsi="宋体"/>
          <w:b/>
          <w:bCs/>
          <w:color w:val="auto"/>
          <w:kern w:val="44"/>
          <w:sz w:val="28"/>
          <w:szCs w:val="28"/>
          <w:highlight w:val="none"/>
          <w:lang w:val="zh-CN"/>
        </w:rPr>
        <w:t>合同条款格式</w:t>
      </w:r>
      <w:bookmarkEnd w:id="59"/>
    </w:p>
    <w:p>
      <w:pPr>
        <w:rPr>
          <w:rFonts w:hint="eastAsia"/>
          <w:color w:val="auto"/>
          <w:highlight w:val="none"/>
        </w:rPr>
      </w:pPr>
    </w:p>
    <w:p>
      <w:pPr>
        <w:spacing w:line="360" w:lineRule="auto"/>
        <w:ind w:firstLine="420" w:firstLineChars="200"/>
        <w:rPr>
          <w:rFonts w:hint="eastAsia" w:hAnsi="宋体"/>
          <w:color w:val="auto"/>
          <w:sz w:val="21"/>
          <w:szCs w:val="21"/>
          <w:highlight w:val="none"/>
        </w:rPr>
      </w:pP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1、本项目造价咨询服务的实际需求方为项目业主。招标人发布本次招标、签发中标通知书，是受项目业主委托、协助项目业主开展前期工作的行为。</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2、发包人（项目业主）对招标人的本次招标、签发中标通知书及签订合同的行为予以认可，发包人（项目业主）享有中标合同约定的委托人享有的权利。同时，也承担中标合同约定的委托人的主体责任。</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承包人确认，承包人对项目业主系本次招标的实际需求方不持异议。作为造价咨询服务的咨询人，承包人确认并同意根据中标合同的约定直接向项目业主履行中标合同约定的各项义务，若承包人存在违反中标合同约定义务的情形，项目业主有权以委托人的名义向承包人直接主张违约责任，承包人不得以中标通知书是由招标人签发为由拒绝向项目业主承担合同义务及违约责任。</w:t>
      </w:r>
    </w:p>
    <w:p>
      <w:pPr>
        <w:spacing w:line="360" w:lineRule="auto"/>
        <w:rPr>
          <w:rFonts w:hint="eastAsia" w:hAnsi="宋体"/>
          <w:color w:val="auto"/>
          <w:szCs w:val="21"/>
          <w:highlight w:val="none"/>
        </w:rPr>
      </w:pPr>
    </w:p>
    <w:p>
      <w:pPr>
        <w:spacing w:line="360" w:lineRule="auto"/>
        <w:ind w:firstLine="1233" w:firstLineChars="514"/>
        <w:rPr>
          <w:rFonts w:hint="eastAsia" w:hAnsi="宋体"/>
          <w:color w:val="auto"/>
          <w:szCs w:val="21"/>
          <w:highlight w:val="none"/>
        </w:rPr>
      </w:pPr>
    </w:p>
    <w:p>
      <w:pPr>
        <w:spacing w:line="360" w:lineRule="auto"/>
        <w:ind w:firstLine="1233" w:firstLineChars="514"/>
        <w:rPr>
          <w:rFonts w:hint="eastAsia" w:hAnsi="宋体"/>
          <w:color w:val="auto"/>
          <w:szCs w:val="21"/>
          <w:highlight w:val="none"/>
        </w:rPr>
      </w:pPr>
    </w:p>
    <w:p>
      <w:pPr>
        <w:spacing w:line="360" w:lineRule="auto"/>
        <w:ind w:firstLine="1233" w:firstLineChars="514"/>
        <w:rPr>
          <w:rFonts w:hint="eastAsia" w:hAnsi="宋体"/>
          <w:color w:val="auto"/>
          <w:szCs w:val="21"/>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tabs>
          <w:tab w:val="left" w:pos="2205"/>
        </w:tabs>
        <w:spacing w:line="360" w:lineRule="auto"/>
        <w:rPr>
          <w:rFonts w:hAnsi="宋体"/>
          <w:color w:val="auto"/>
          <w:highlight w:val="none"/>
        </w:rPr>
      </w:pPr>
    </w:p>
    <w:p>
      <w:pPr>
        <w:spacing w:before="260" w:after="260" w:line="360" w:lineRule="auto"/>
        <w:rPr>
          <w:rFonts w:hAnsi="宋体" w:cs="宋体"/>
          <w:b/>
          <w:bCs/>
          <w:color w:val="auto"/>
          <w:szCs w:val="21"/>
          <w:highlight w:val="none"/>
        </w:rPr>
      </w:pPr>
      <w:r>
        <w:rPr>
          <w:rFonts w:hint="eastAsia" w:hAnsi="宋体"/>
          <w:b/>
          <w:color w:val="auto"/>
          <w:kern w:val="28"/>
          <w:sz w:val="32"/>
          <w:szCs w:val="32"/>
          <w:highlight w:val="none"/>
        </w:rPr>
        <w:br w:type="page"/>
      </w:r>
      <w:bookmarkStart w:id="60" w:name="_Toc29578"/>
      <w:bookmarkStart w:id="61" w:name="_Toc528686154"/>
      <w:bookmarkStart w:id="62" w:name="_Toc60995542"/>
      <w:bookmarkStart w:id="63" w:name="_Toc272161860"/>
      <w:r>
        <w:rPr>
          <w:rFonts w:hint="eastAsia" w:hAnsi="宋体" w:cs="宋体"/>
          <w:b/>
          <w:bCs/>
          <w:color w:val="auto"/>
          <w:szCs w:val="21"/>
          <w:highlight w:val="none"/>
        </w:rPr>
        <w:t>单项造价咨询服务合同</w:t>
      </w:r>
      <w:bookmarkEnd w:id="60"/>
      <w:bookmarkEnd w:id="61"/>
      <w:bookmarkEnd w:id="62"/>
    </w:p>
    <w:bookmarkEnd w:id="63"/>
    <w:p>
      <w:pPr>
        <w:spacing w:line="360" w:lineRule="auto"/>
        <w:ind w:right="480"/>
        <w:jc w:val="right"/>
        <w:rPr>
          <w:color w:val="auto"/>
          <w:highlight w:val="none"/>
        </w:rPr>
      </w:pPr>
      <w:r>
        <w:rPr>
          <w:rFonts w:hint="eastAsia"/>
          <w:color w:val="auto"/>
          <w:highlight w:val="none"/>
        </w:rPr>
        <w:t>合同编号：</w:t>
      </w:r>
    </w:p>
    <w:p>
      <w:pPr>
        <w:jc w:val="center"/>
        <w:rPr>
          <w:b/>
          <w:color w:val="auto"/>
          <w:sz w:val="72"/>
          <w:szCs w:val="72"/>
          <w:highlight w:val="none"/>
        </w:rPr>
      </w:pPr>
    </w:p>
    <w:p>
      <w:pPr>
        <w:jc w:val="center"/>
        <w:rPr>
          <w:b/>
          <w:color w:val="auto"/>
          <w:sz w:val="72"/>
          <w:szCs w:val="72"/>
          <w:highlight w:val="none"/>
        </w:rPr>
      </w:pPr>
    </w:p>
    <w:p>
      <w:pPr>
        <w:jc w:val="center"/>
        <w:rPr>
          <w:rFonts w:hint="eastAsia" w:eastAsia="宋体"/>
          <w:b/>
          <w:color w:val="auto"/>
          <w:sz w:val="72"/>
          <w:szCs w:val="72"/>
          <w:highlight w:val="none"/>
          <w:lang w:eastAsia="zh-CN"/>
        </w:rPr>
      </w:pPr>
      <w:r>
        <w:rPr>
          <w:rFonts w:hint="eastAsia"/>
          <w:b/>
          <w:color w:val="auto"/>
          <w:sz w:val="72"/>
          <w:szCs w:val="72"/>
          <w:highlight w:val="none"/>
          <w:lang w:eastAsia="zh-CN"/>
        </w:rPr>
        <w:t>东莞市湾区国际制造中心总部预算审核</w:t>
      </w:r>
    </w:p>
    <w:p>
      <w:pPr>
        <w:jc w:val="center"/>
        <w:rPr>
          <w:b/>
          <w:color w:val="auto"/>
          <w:sz w:val="72"/>
          <w:szCs w:val="72"/>
          <w:highlight w:val="none"/>
        </w:rPr>
      </w:pPr>
    </w:p>
    <w:p>
      <w:pPr>
        <w:jc w:val="center"/>
        <w:rPr>
          <w:b/>
          <w:color w:val="auto"/>
          <w:sz w:val="72"/>
          <w:szCs w:val="72"/>
          <w:highlight w:val="none"/>
        </w:rPr>
      </w:pPr>
      <w:r>
        <w:rPr>
          <w:rFonts w:hint="eastAsia"/>
          <w:b/>
          <w:color w:val="auto"/>
          <w:sz w:val="72"/>
          <w:szCs w:val="72"/>
          <w:highlight w:val="none"/>
        </w:rPr>
        <w:t>服务合同</w:t>
      </w:r>
    </w:p>
    <w:p>
      <w:pPr>
        <w:snapToGrid w:val="0"/>
        <w:spacing w:line="360" w:lineRule="auto"/>
        <w:ind w:firstLine="2233" w:firstLineChars="695"/>
        <w:jc w:val="center"/>
        <w:rPr>
          <w:rFonts w:hAnsi="宋体"/>
          <w:b/>
          <w:bCs/>
          <w:snapToGrid w:val="0"/>
          <w:color w:val="auto"/>
          <w:sz w:val="32"/>
          <w:szCs w:val="32"/>
          <w:highlight w:val="none"/>
        </w:rPr>
      </w:pPr>
    </w:p>
    <w:p>
      <w:pPr>
        <w:snapToGrid w:val="0"/>
        <w:spacing w:line="360" w:lineRule="auto"/>
        <w:rPr>
          <w:rFonts w:hAnsi="宋体"/>
          <w:b/>
          <w:bCs/>
          <w:snapToGrid w:val="0"/>
          <w:color w:val="auto"/>
          <w:sz w:val="32"/>
          <w:szCs w:val="32"/>
          <w:highlight w:val="none"/>
        </w:rPr>
      </w:pPr>
    </w:p>
    <w:p>
      <w:pPr>
        <w:snapToGrid w:val="0"/>
        <w:spacing w:line="360" w:lineRule="auto"/>
        <w:rPr>
          <w:rFonts w:hAnsi="宋体"/>
          <w:snapToGrid w:val="0"/>
          <w:color w:val="auto"/>
          <w:highlight w:val="none"/>
        </w:rPr>
      </w:pPr>
    </w:p>
    <w:p>
      <w:pPr>
        <w:widowControl/>
        <w:wordWrap w:val="0"/>
        <w:spacing w:line="360" w:lineRule="auto"/>
        <w:ind w:firstLine="2080" w:firstLineChars="650"/>
        <w:rPr>
          <w:rFonts w:hAnsi="宋体" w:cs="黑体"/>
          <w:color w:val="auto"/>
          <w:sz w:val="32"/>
          <w:szCs w:val="32"/>
          <w:highlight w:val="none"/>
          <w:u w:val="single"/>
        </w:rPr>
      </w:pPr>
      <w:r>
        <w:rPr>
          <w:rFonts w:hint="eastAsia" w:hAnsi="宋体" w:cs="黑体"/>
          <w:color w:val="auto"/>
          <w:sz w:val="32"/>
          <w:szCs w:val="32"/>
          <w:highlight w:val="none"/>
        </w:rPr>
        <w:t>工程名称：</w:t>
      </w:r>
      <w:r>
        <w:rPr>
          <w:rFonts w:hint="eastAsia" w:hAnsi="宋体" w:cs="黑体"/>
          <w:color w:val="auto"/>
          <w:sz w:val="32"/>
          <w:szCs w:val="32"/>
          <w:highlight w:val="none"/>
          <w:u w:val="single"/>
        </w:rPr>
        <w:t xml:space="preserve"> 东莞市湾区国际制造中心总部 </w:t>
      </w:r>
    </w:p>
    <w:p>
      <w:pPr>
        <w:widowControl/>
        <w:wordWrap w:val="0"/>
        <w:spacing w:line="360" w:lineRule="auto"/>
        <w:ind w:firstLine="2080" w:firstLineChars="650"/>
        <w:rPr>
          <w:rFonts w:hAnsi="宋体" w:cs="黑体"/>
          <w:color w:val="auto"/>
          <w:sz w:val="32"/>
          <w:szCs w:val="32"/>
          <w:highlight w:val="none"/>
          <w:u w:val="single"/>
        </w:rPr>
      </w:pPr>
      <w:r>
        <w:rPr>
          <w:rFonts w:hint="eastAsia" w:hAnsi="宋体" w:cs="黑体"/>
          <w:color w:val="auto"/>
          <w:sz w:val="32"/>
          <w:szCs w:val="32"/>
          <w:highlight w:val="none"/>
        </w:rPr>
        <w:t>工程地点：</w:t>
      </w:r>
      <w:r>
        <w:rPr>
          <w:rFonts w:hint="eastAsia" w:hAnsi="宋体" w:cs="黑体"/>
          <w:color w:val="auto"/>
          <w:sz w:val="32"/>
          <w:szCs w:val="32"/>
          <w:highlight w:val="none"/>
          <w:u w:val="single"/>
        </w:rPr>
        <w:t xml:space="preserve"> 东莞市国际商务区           </w:t>
      </w:r>
    </w:p>
    <w:p>
      <w:pPr>
        <w:widowControl/>
        <w:wordWrap w:val="0"/>
        <w:spacing w:line="360" w:lineRule="auto"/>
        <w:ind w:firstLine="2080" w:firstLineChars="650"/>
        <w:rPr>
          <w:rFonts w:hAnsi="宋体" w:cs="黑体"/>
          <w:color w:val="auto"/>
          <w:sz w:val="32"/>
          <w:szCs w:val="32"/>
          <w:highlight w:val="none"/>
          <w:u w:val="single"/>
        </w:rPr>
      </w:pPr>
      <w:r>
        <w:rPr>
          <w:rFonts w:hint="eastAsia" w:hAnsi="宋体" w:cs="黑体"/>
          <w:color w:val="auto"/>
          <w:sz w:val="32"/>
          <w:szCs w:val="32"/>
          <w:highlight w:val="none"/>
        </w:rPr>
        <w:t>委托单位：</w:t>
      </w:r>
      <w:r>
        <w:rPr>
          <w:rFonts w:hint="eastAsia" w:hAnsi="宋体" w:cs="黑体"/>
          <w:color w:val="auto"/>
          <w:sz w:val="32"/>
          <w:szCs w:val="32"/>
          <w:highlight w:val="none"/>
          <w:u w:val="single"/>
        </w:rPr>
        <w:t xml:space="preserve"> 东莞市旗美投资发展有限公司 </w:t>
      </w:r>
    </w:p>
    <w:p>
      <w:pPr>
        <w:widowControl/>
        <w:wordWrap w:val="0"/>
        <w:spacing w:line="360" w:lineRule="auto"/>
        <w:ind w:firstLine="2080" w:firstLineChars="650"/>
        <w:rPr>
          <w:rFonts w:hAnsi="宋体" w:cs="黑体"/>
          <w:color w:val="auto"/>
          <w:sz w:val="32"/>
          <w:szCs w:val="32"/>
          <w:highlight w:val="none"/>
          <w:u w:val="single"/>
        </w:rPr>
      </w:pPr>
      <w:r>
        <w:rPr>
          <w:rFonts w:hint="eastAsia" w:hAnsi="宋体" w:cs="黑体"/>
          <w:color w:val="auto"/>
          <w:sz w:val="32"/>
          <w:szCs w:val="32"/>
          <w:highlight w:val="none"/>
        </w:rPr>
        <w:t>咨询单位：</w:t>
      </w:r>
      <w:r>
        <w:rPr>
          <w:rFonts w:hint="eastAsia" w:hAnsi="宋体" w:cs="黑体"/>
          <w:color w:val="auto"/>
          <w:sz w:val="32"/>
          <w:szCs w:val="32"/>
          <w:highlight w:val="none"/>
          <w:u w:val="single"/>
        </w:rPr>
        <w:t xml:space="preserve">       </w:t>
      </w:r>
      <w:r>
        <w:rPr>
          <w:rFonts w:hAnsi="宋体" w:cs="黑体"/>
          <w:color w:val="auto"/>
          <w:sz w:val="32"/>
          <w:szCs w:val="32"/>
          <w:highlight w:val="none"/>
          <w:u w:val="single"/>
        </w:rPr>
        <w:t xml:space="preserve">   </w:t>
      </w:r>
      <w:r>
        <w:rPr>
          <w:rFonts w:hint="eastAsia" w:hAnsi="宋体" w:cs="黑体"/>
          <w:color w:val="auto"/>
          <w:sz w:val="32"/>
          <w:szCs w:val="32"/>
          <w:highlight w:val="none"/>
          <w:u w:val="single"/>
        </w:rPr>
        <w:t xml:space="preserve">             </w:t>
      </w:r>
      <w:r>
        <w:rPr>
          <w:rFonts w:hAnsi="宋体" w:cs="黑体"/>
          <w:color w:val="auto"/>
          <w:sz w:val="32"/>
          <w:szCs w:val="32"/>
          <w:highlight w:val="none"/>
          <w:u w:val="single"/>
        </w:rPr>
        <w:t xml:space="preserve"> </w:t>
      </w:r>
      <w:r>
        <w:rPr>
          <w:rFonts w:hint="eastAsia" w:hAnsi="宋体" w:cs="黑体"/>
          <w:color w:val="auto"/>
          <w:sz w:val="32"/>
          <w:szCs w:val="32"/>
          <w:highlight w:val="none"/>
          <w:u w:val="single"/>
        </w:rPr>
        <w:t xml:space="preserve">    </w:t>
      </w:r>
    </w:p>
    <w:p>
      <w:pPr>
        <w:widowControl/>
        <w:wordWrap w:val="0"/>
        <w:spacing w:line="360" w:lineRule="auto"/>
        <w:ind w:firstLine="3040" w:firstLineChars="950"/>
        <w:rPr>
          <w:rFonts w:hAnsi="宋体" w:cs="黑体"/>
          <w:color w:val="auto"/>
          <w:sz w:val="32"/>
          <w:szCs w:val="32"/>
          <w:highlight w:val="none"/>
        </w:rPr>
      </w:pPr>
    </w:p>
    <w:p>
      <w:pPr>
        <w:widowControl/>
        <w:spacing w:line="360" w:lineRule="auto"/>
        <w:rPr>
          <w:rFonts w:hAnsi="宋体" w:cs="黑体"/>
          <w:color w:val="auto"/>
          <w:sz w:val="32"/>
          <w:szCs w:val="32"/>
          <w:highlight w:val="none"/>
        </w:rPr>
      </w:pPr>
    </w:p>
    <w:p>
      <w:pPr>
        <w:widowControl/>
        <w:wordWrap w:val="0"/>
        <w:spacing w:line="360" w:lineRule="auto"/>
        <w:ind w:firstLine="3520" w:firstLineChars="1100"/>
        <w:rPr>
          <w:rFonts w:hAnsi="宋体" w:cs="黑体"/>
          <w:color w:val="auto"/>
          <w:sz w:val="32"/>
          <w:szCs w:val="32"/>
          <w:highlight w:val="none"/>
        </w:rPr>
      </w:pPr>
    </w:p>
    <w:p>
      <w:pPr>
        <w:widowControl/>
        <w:wordWrap w:val="0"/>
        <w:spacing w:line="360" w:lineRule="auto"/>
        <w:ind w:firstLine="3520" w:firstLineChars="1100"/>
        <w:rPr>
          <w:rFonts w:hAnsi="宋体" w:cs="黑体"/>
          <w:color w:val="auto"/>
          <w:sz w:val="32"/>
          <w:szCs w:val="32"/>
          <w:highlight w:val="none"/>
        </w:rPr>
        <w:sectPr>
          <w:pgSz w:w="11907" w:h="16840"/>
          <w:pgMar w:top="1247" w:right="1191" w:bottom="1247" w:left="1191" w:header="851" w:footer="992" w:gutter="0"/>
          <w:cols w:space="720" w:num="1"/>
          <w:docGrid w:linePitch="312" w:charSpace="0"/>
        </w:sectPr>
      </w:pPr>
      <w:r>
        <w:rPr>
          <w:rFonts w:hint="eastAsia" w:hAnsi="宋体" w:cs="黑体"/>
          <w:color w:val="auto"/>
          <w:sz w:val="32"/>
          <w:szCs w:val="32"/>
          <w:highlight w:val="none"/>
        </w:rPr>
        <w:t>年    月    日</w:t>
      </w:r>
    </w:p>
    <w:p>
      <w:pPr>
        <w:widowControl/>
        <w:wordWrap w:val="0"/>
        <w:spacing w:line="360" w:lineRule="auto"/>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委托人（以下简称甲方）：</w:t>
      </w:r>
      <w:r>
        <w:rPr>
          <w:rFonts w:hint="eastAsia" w:ascii="宋体" w:hAnsi="宋体" w:eastAsia="宋体" w:cs="宋体"/>
          <w:color w:val="auto"/>
          <w:sz w:val="21"/>
          <w:szCs w:val="21"/>
          <w:highlight w:val="none"/>
          <w:u w:val="single"/>
        </w:rPr>
        <w:t xml:space="preserve"> 东莞市旗美投资发展有限公司</w:t>
      </w:r>
      <w:r>
        <w:rPr>
          <w:rFonts w:hint="eastAsia" w:ascii="宋体" w:hAnsi="宋体" w:eastAsia="宋体" w:cs="宋体"/>
          <w:b/>
          <w:bCs/>
          <w:color w:val="auto"/>
          <w:sz w:val="21"/>
          <w:szCs w:val="21"/>
          <w:highlight w:val="none"/>
          <w:u w:val="single"/>
        </w:rPr>
        <w:t xml:space="preserve"> </w:t>
      </w:r>
    </w:p>
    <w:p>
      <w:pPr>
        <w:widowControl/>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咨询人（以下简称乙方）：</w:t>
      </w:r>
      <w:r>
        <w:rPr>
          <w:rFonts w:hint="eastAsia" w:ascii="宋体" w:hAnsi="宋体" w:eastAsia="宋体" w:cs="宋体"/>
          <w:color w:val="auto"/>
          <w:sz w:val="21"/>
          <w:szCs w:val="21"/>
          <w:highlight w:val="none"/>
          <w:u w:val="singl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甲方委托乙方承担工程造价咨询业务，按照《中华人民共和国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》，并结合国家建设部、省市有关规定及本工程具体情况，签订本合同。</w:t>
      </w:r>
    </w:p>
    <w:p>
      <w:pPr>
        <w:spacing w:line="360" w:lineRule="auto"/>
        <w:ind w:left="472"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项目概况</w:t>
      </w:r>
    </w:p>
    <w:p>
      <w:pPr>
        <w:wordWrap w:val="0"/>
        <w:spacing w:line="360" w:lineRule="auto"/>
        <w:ind w:left="2008" w:leftChars="224" w:hanging="1470" w:hangingChars="7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 工程名称:</w:t>
      </w:r>
      <w:r>
        <w:rPr>
          <w:rFonts w:hint="eastAsia" w:ascii="宋体" w:hAnsi="宋体" w:eastAsia="宋体" w:cs="宋体"/>
          <w:b/>
          <w:bCs/>
          <w:color w:val="auto"/>
          <w:sz w:val="21"/>
          <w:szCs w:val="21"/>
          <w:highlight w:val="none"/>
          <w:u w:val="single"/>
        </w:rPr>
        <w:t xml:space="preserve"> </w:t>
      </w:r>
      <w:r>
        <w:rPr>
          <w:rFonts w:hint="eastAsia" w:hAnsi="宋体" w:cs="宋体"/>
          <w:color w:val="auto"/>
          <w:sz w:val="21"/>
          <w:szCs w:val="21"/>
          <w:highlight w:val="none"/>
          <w:u w:val="single"/>
          <w:lang w:eastAsia="zh-CN"/>
        </w:rPr>
        <w:t>东莞市湾区国际制造中心总部预算审核</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 </w:t>
      </w:r>
    </w:p>
    <w:p>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 工程规模: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东莞市湾区国际制造中心总部项目总用地面积 13,313.85 平方米，总建筑面积约15.86万平方米，最大高度﹤150米。土地用途为商务金融用地、交通服务场站用地，拟建设内容包括商业、办公、地下通道、停车场、公共配套用房及公共配套设施等。（具体建设规模及内容以批复的文件为准）</w:t>
      </w:r>
      <w:r>
        <w:rPr>
          <w:rFonts w:hint="eastAsia" w:ascii="宋体" w:hAnsi="宋体" w:eastAsia="宋体" w:cs="宋体"/>
          <w:b/>
          <w:bCs/>
          <w:color w:val="auto"/>
          <w:sz w:val="21"/>
          <w:szCs w:val="21"/>
          <w:highlight w:val="none"/>
          <w:u w:val="single"/>
        </w:rPr>
        <w:t xml:space="preserve"> </w:t>
      </w:r>
    </w:p>
    <w:p>
      <w:pPr>
        <w:wordWrap w:val="0"/>
        <w:spacing w:line="360" w:lineRule="auto"/>
        <w:ind w:firstLine="738" w:firstLineChars="3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上部结构:</w:t>
      </w:r>
      <w:r>
        <w:rPr>
          <w:rFonts w:hint="eastAsia" w:ascii="宋体" w:hAnsi="宋体" w:eastAsia="宋体" w:cs="宋体"/>
          <w:b/>
          <w:bCs/>
          <w:color w:val="auto"/>
          <w:sz w:val="21"/>
          <w:szCs w:val="21"/>
          <w:highlight w:val="none"/>
          <w:u w:val="single"/>
        </w:rPr>
        <w:t xml:space="preserve">  详见施工图设计文件    </w:t>
      </w:r>
    </w:p>
    <w:p>
      <w:pPr>
        <w:wordWrap w:val="0"/>
        <w:spacing w:line="360" w:lineRule="auto"/>
        <w:ind w:firstLine="738" w:firstLineChars="35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rPr>
        <w:t>基础结构:</w:t>
      </w:r>
      <w:r>
        <w:rPr>
          <w:rFonts w:hint="eastAsia" w:ascii="宋体" w:hAnsi="宋体" w:eastAsia="宋体" w:cs="宋体"/>
          <w:b/>
          <w:bCs/>
          <w:color w:val="auto"/>
          <w:sz w:val="21"/>
          <w:szCs w:val="21"/>
          <w:highlight w:val="none"/>
          <w:u w:val="single"/>
        </w:rPr>
        <w:t xml:space="preserve"> 详见施工图设计文件 </w:t>
      </w:r>
    </w:p>
    <w:p>
      <w:pPr>
        <w:wordWrap w:val="0"/>
        <w:spacing w:line="360" w:lineRule="auto"/>
        <w:ind w:firstLine="738" w:firstLineChars="3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结构形式:</w:t>
      </w:r>
      <w:r>
        <w:rPr>
          <w:rFonts w:hint="eastAsia" w:ascii="宋体" w:hAnsi="宋体" w:eastAsia="宋体" w:cs="宋体"/>
          <w:b/>
          <w:bCs/>
          <w:color w:val="auto"/>
          <w:sz w:val="21"/>
          <w:szCs w:val="21"/>
          <w:highlight w:val="none"/>
          <w:u w:val="single"/>
        </w:rPr>
        <w:t xml:space="preserve"> 详见施工图设计文件 </w:t>
      </w:r>
    </w:p>
    <w:p>
      <w:pPr>
        <w:spacing w:line="360" w:lineRule="auto"/>
        <w:ind w:left="472" w:hanging="413" w:hangingChars="196"/>
        <w:rPr>
          <w:rFonts w:hint="eastAsia" w:ascii="宋体" w:hAnsi="宋体" w:eastAsia="宋体" w:cs="宋体"/>
          <w:b/>
          <w:bCs/>
          <w:color w:val="auto"/>
          <w:sz w:val="21"/>
          <w:szCs w:val="21"/>
          <w:highlight w:val="none"/>
        </w:rPr>
      </w:pPr>
    </w:p>
    <w:p>
      <w:pPr>
        <w:spacing w:line="360" w:lineRule="auto"/>
        <w:ind w:left="472"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服务范围及内容</w:t>
      </w:r>
    </w:p>
    <w:p>
      <w:pPr>
        <w:wordWrap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2.1服务范围：</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施工图预算(含工程量清单、定额工期、相关造价分析文件）的审核。具体招标（服务）范围见招标文件第五章造价咨询任务大纲。</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2.2服务内容: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根据甲方提供的招标文件、招标图纸、施工合同等资料，乙方完成</w:t>
      </w:r>
      <w:r>
        <w:rPr>
          <w:rFonts w:hint="eastAsia" w:ascii="宋体" w:hAnsi="宋体" w:eastAsia="宋体" w:cs="宋体"/>
          <w:color w:val="auto"/>
          <w:sz w:val="21"/>
          <w:szCs w:val="21"/>
          <w:highlight w:val="none"/>
          <w:lang w:val="zh-CN"/>
        </w:rPr>
        <w:t>包括但不限于以下内容</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2.2.1根据以上资料采用</w:t>
      </w:r>
      <w:r>
        <w:rPr>
          <w:rFonts w:hint="eastAsia" w:ascii="宋体" w:hAnsi="宋体" w:eastAsia="宋体" w:cs="宋体"/>
          <w:bCs/>
          <w:color w:val="auto"/>
          <w:sz w:val="21"/>
          <w:szCs w:val="21"/>
          <w:highlight w:val="none"/>
          <w:u w:val="single"/>
        </w:rPr>
        <w:t>清单计价方式</w:t>
      </w:r>
      <w:r>
        <w:rPr>
          <w:rFonts w:hint="eastAsia" w:ascii="宋体" w:hAnsi="宋体" w:eastAsia="宋体" w:cs="宋体"/>
          <w:bCs/>
          <w:color w:val="auto"/>
          <w:sz w:val="21"/>
          <w:szCs w:val="21"/>
          <w:highlight w:val="none"/>
        </w:rPr>
        <w:t>进行</w:t>
      </w:r>
      <w:r>
        <w:rPr>
          <w:rFonts w:hint="eastAsia" w:ascii="宋体" w:hAnsi="宋体" w:eastAsia="宋体" w:cs="宋体"/>
          <w:color w:val="auto"/>
          <w:sz w:val="21"/>
          <w:szCs w:val="21"/>
          <w:highlight w:val="none"/>
        </w:rPr>
        <w:t>工程招标控制价（含工程量清单）和预算的审核等；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2.2.2提供相关表格（见附表）及工程造价信息、资料的咨询服务。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2.2.3提交成果文件后，乙方须解答（书面解答应按甲方要求派项目组成员到甲方指定地点负责解答）。</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2.2.4对于乙方出具的工程量及造价与最终确定的工程量及造价相比变动幅度超过5%的部分，乙方须以书面形式向甲方澄清说明变动原因。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2.2.5对数地点：甲方指定场所。对数期间所发生的差旅、食宿等一切费用由乙方承担。</w:t>
      </w:r>
    </w:p>
    <w:p>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咨询酬金</w:t>
      </w:r>
    </w:p>
    <w:p>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3.1咨询酬金暂定价款为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元，最终结算金额按</w:t>
      </w:r>
      <w:r>
        <w:rPr>
          <w:rFonts w:hint="eastAsia" w:ascii="宋体" w:hAnsi="宋体" w:eastAsia="宋体" w:cs="宋体"/>
          <w:color w:val="auto"/>
          <w:sz w:val="21"/>
          <w:szCs w:val="21"/>
          <w:highlight w:val="none"/>
          <w:lang w:val="zh-CN"/>
        </w:rPr>
        <w:t xml:space="preserve">《东莞市财政投资项目造价咨询服务收费项目和收费标准》*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rPr>
        <w:t>折和造价咨询项目的实际情况确定。付款时乙方必须提供具有甲方抬头的等额有效的正式增值税专用发票，未提供发票甲方可拒绝付款；若因乙方未按时提供有效发票导致付款延误，甲方不承担任何责任。</w:t>
      </w:r>
    </w:p>
    <w:p>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p>
    <w:p>
      <w:p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3.3履约担保</w:t>
      </w:r>
    </w:p>
    <w:p>
      <w:pPr>
        <w:numPr>
          <w:ilvl w:val="0"/>
          <w:numId w:val="0"/>
        </w:num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领取中标通知书后，应向甲方提交履约担保，履约担保金额为本合同咨询酬金暂定价款的10%，如果乙方提交的履约保函的有效期先于合同要求的履约保函有效期到达，乙方应在原提交的履约保函有效期满前15天，无条件办理保函延期手续。否则，视乙方违约，甲方可在保函到期前将保函金额转为现金存入履约保证金帐户。</w:t>
      </w:r>
    </w:p>
    <w:p>
      <w:pPr>
        <w:numPr>
          <w:ilvl w:val="0"/>
          <w:numId w:val="0"/>
        </w:numPr>
        <w:spacing w:line="360" w:lineRule="auto"/>
        <w:ind w:left="-2" w:leftChars="-1" w:firstLine="420" w:firstLineChars="200"/>
        <w:rPr>
          <w:rFonts w:hint="eastAsia" w:ascii="宋体" w:hAnsi="宋体" w:eastAsia="宋体" w:cs="宋体"/>
          <w:color w:val="auto"/>
          <w:sz w:val="21"/>
          <w:szCs w:val="21"/>
          <w:highlight w:val="none"/>
        </w:rPr>
      </w:pPr>
      <w:r>
        <w:rPr>
          <w:rFonts w:hint="eastAsia" w:ascii="宋体" w:hAnsi="宋体" w:eastAsia="宋体" w:cs="宋体"/>
          <w:bCs w:val="0"/>
          <w:color w:val="auto"/>
          <w:kern w:val="0"/>
          <w:sz w:val="21"/>
          <w:szCs w:val="21"/>
          <w:highlight w:val="none"/>
        </w:rPr>
        <w:t>履约担保期限从合同签订之日起至</w:t>
      </w:r>
      <w:r>
        <w:rPr>
          <w:rFonts w:hint="eastAsia" w:hAnsi="宋体" w:cs="宋体"/>
          <w:bCs w:val="0"/>
          <w:color w:val="auto"/>
          <w:kern w:val="0"/>
          <w:sz w:val="21"/>
          <w:szCs w:val="21"/>
          <w:highlight w:val="none"/>
          <w:lang w:val="en-US" w:eastAsia="zh-CN"/>
        </w:rPr>
        <w:t>项目</w:t>
      </w:r>
      <w:r>
        <w:rPr>
          <w:rFonts w:hint="eastAsia" w:ascii="宋体" w:hAnsi="宋体" w:eastAsia="宋体" w:cs="宋体"/>
          <w:color w:val="auto"/>
          <w:sz w:val="21"/>
          <w:szCs w:val="21"/>
          <w:highlight w:val="none"/>
        </w:rPr>
        <w:t>服务完工</w:t>
      </w:r>
      <w:r>
        <w:rPr>
          <w:rFonts w:hint="eastAsia" w:ascii="宋体" w:hAnsi="宋体" w:eastAsia="宋体" w:cs="宋体"/>
          <w:bCs w:val="0"/>
          <w:color w:val="auto"/>
          <w:kern w:val="0"/>
          <w:sz w:val="21"/>
          <w:szCs w:val="21"/>
          <w:highlight w:val="none"/>
        </w:rPr>
        <w:t>验收合格并结算完毕后，经双方签字7天内保持有效。</w:t>
      </w:r>
    </w:p>
    <w:p>
      <w:pPr>
        <w:spacing w:before="120" w:beforeLines="50"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时间要求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4.1乙方于收齐全套资料后，</w:t>
      </w:r>
      <w:r>
        <w:rPr>
          <w:rFonts w:hint="eastAsia" w:ascii="宋体" w:hAnsi="宋体" w:eastAsia="宋体" w:cs="宋体"/>
          <w:bCs/>
          <w:color w:val="auto"/>
          <w:sz w:val="21"/>
          <w:szCs w:val="21"/>
          <w:highlight w:val="none"/>
          <w:u w:val="single"/>
        </w:rPr>
        <w:t>2个工作日</w:t>
      </w:r>
      <w:r>
        <w:rPr>
          <w:rFonts w:hint="eastAsia" w:ascii="宋体" w:hAnsi="宋体" w:eastAsia="宋体" w:cs="宋体"/>
          <w:color w:val="auto"/>
          <w:sz w:val="21"/>
          <w:szCs w:val="21"/>
          <w:highlight w:val="none"/>
        </w:rPr>
        <w:t>内对资料的完整性提出意见。</w:t>
      </w:r>
      <w:r>
        <w:rPr>
          <w:rFonts w:hint="eastAsia" w:ascii="宋体" w:hAnsi="宋体" w:eastAsia="宋体" w:cs="宋体"/>
          <w:bCs/>
          <w:color w:val="auto"/>
          <w:sz w:val="21"/>
          <w:szCs w:val="21"/>
          <w:highlight w:val="none"/>
          <w:u w:val="single"/>
        </w:rPr>
        <w:t>20个日历天内</w:t>
      </w:r>
      <w:r>
        <w:rPr>
          <w:rFonts w:hint="eastAsia" w:ascii="宋体" w:hAnsi="宋体" w:eastAsia="宋体" w:cs="宋体"/>
          <w:color w:val="auto"/>
          <w:sz w:val="21"/>
          <w:szCs w:val="21"/>
          <w:highlight w:val="none"/>
        </w:rPr>
        <w:t>向甲方提交初步成果文件；</w:t>
      </w:r>
      <w:r>
        <w:rPr>
          <w:rFonts w:hint="eastAsia" w:ascii="宋体" w:hAnsi="宋体" w:eastAsia="宋体" w:cs="宋体"/>
          <w:bCs/>
          <w:color w:val="auto"/>
          <w:sz w:val="21"/>
          <w:szCs w:val="21"/>
          <w:highlight w:val="none"/>
          <w:u w:val="single"/>
        </w:rPr>
        <w:t>25个日历天内</w:t>
      </w:r>
      <w:r>
        <w:rPr>
          <w:rFonts w:hint="eastAsia" w:ascii="宋体" w:hAnsi="宋体" w:eastAsia="宋体" w:cs="宋体"/>
          <w:color w:val="auto"/>
          <w:sz w:val="21"/>
          <w:szCs w:val="21"/>
          <w:highlight w:val="none"/>
        </w:rPr>
        <w:t>向甲方提供正式成果文件；以上工作时间包括审核、对数、现场勘察及复核后修改等时间，并形成双方共同签字确认的成果文件,非乙方原因延误的时间依次顺延。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4.2若因图纸设计质量原因影响乙方工作，乙方应立即书面通知甲方，若甲方在</w:t>
      </w:r>
      <w:r>
        <w:rPr>
          <w:rFonts w:hint="eastAsia" w:ascii="宋体" w:hAnsi="宋体" w:eastAsia="宋体" w:cs="宋体"/>
          <w:bCs/>
          <w:color w:val="auto"/>
          <w:sz w:val="21"/>
          <w:szCs w:val="21"/>
          <w:highlight w:val="none"/>
          <w:u w:val="single"/>
        </w:rPr>
        <w:t>5个日历日</w:t>
      </w:r>
      <w:r>
        <w:rPr>
          <w:rFonts w:hint="eastAsia" w:ascii="宋体" w:hAnsi="宋体" w:eastAsia="宋体" w:cs="宋体"/>
          <w:color w:val="auto"/>
          <w:sz w:val="21"/>
          <w:szCs w:val="21"/>
          <w:highlight w:val="none"/>
        </w:rPr>
        <w:t>内给予答复，则编制时间不予顺延。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如甲方暂无法提供编制范围内的全部图纸，但其提供的部分图纸已达到乙方进行局部工作的条件，乙方须进行相关工作，如果其余图纸在合理编制日期内提供，则编制日期不予顺延。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4.4乙方未按合同条款、甲方的要求执行，或工作成果质量等达不到甲方的要求，乙方须及时进行整改、修正，直至符合甲方要求验收为止，且最后一次修正稿的提交日为乙方提交工作成果日。</w:t>
      </w:r>
    </w:p>
    <w:p>
      <w:pPr>
        <w:spacing w:line="360" w:lineRule="auto"/>
        <w:ind w:left="-2" w:leftChars="-1"/>
        <w:rPr>
          <w:rFonts w:hint="eastAsia" w:ascii="宋体" w:hAnsi="宋体" w:eastAsia="宋体" w:cs="宋体"/>
          <w:b/>
          <w:bCs/>
          <w:color w:val="auto"/>
          <w:sz w:val="21"/>
          <w:szCs w:val="21"/>
          <w:highlight w:val="none"/>
        </w:rPr>
      </w:pPr>
    </w:p>
    <w:p>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成果文件及质量要求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5.1成果文件（初步成果及最终成果）包含但不限于：</w:t>
      </w:r>
      <w:r>
        <w:rPr>
          <w:rFonts w:hint="eastAsia" w:ascii="宋体" w:hAnsi="宋体" w:eastAsia="宋体" w:cs="宋体"/>
          <w:bCs/>
          <w:color w:val="auto"/>
          <w:sz w:val="21"/>
          <w:szCs w:val="21"/>
          <w:highlight w:val="none"/>
          <w:u w:val="single"/>
        </w:rPr>
        <w:t>纸质成果文件一式3份、电子光盘2份</w:t>
      </w:r>
      <w:r>
        <w:rPr>
          <w:rFonts w:hint="eastAsia" w:ascii="宋体" w:hAnsi="宋体" w:eastAsia="宋体" w:cs="宋体"/>
          <w:color w:val="auto"/>
          <w:sz w:val="21"/>
          <w:szCs w:val="21"/>
          <w:highlight w:val="none"/>
        </w:rPr>
        <w:t>。纸质成果文件应包含施工图预算、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ascii="宋体" w:hAnsi="宋体" w:eastAsia="宋体" w:cs="宋体"/>
          <w:bCs/>
          <w:color w:val="auto"/>
          <w:sz w:val="21"/>
          <w:szCs w:val="21"/>
          <w:highlight w:val="none"/>
          <w:u w:val="single"/>
        </w:rPr>
        <w:t>广联达</w:t>
      </w:r>
      <w:r>
        <w:rPr>
          <w:rFonts w:hint="eastAsia" w:ascii="宋体" w:hAnsi="宋体" w:eastAsia="宋体" w:cs="宋体"/>
          <w:color w:val="auto"/>
          <w:sz w:val="21"/>
          <w:szCs w:val="21"/>
          <w:highlight w:val="none"/>
        </w:rPr>
        <w:t>，如确需采用其它算量软件，需征得甲方的确认；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5.4编制说明要内容全面、清楚，要包含工程概况、编制范围、编制依据，工程造价及指标说明等；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5.5乙方提供的成果文件须经专业人员签字，并加盖项目负责人造价师执业印章、咨询单位公章及资质章；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5.6乙方所提交的报告文件必须语句通顺、文字清晰整齐，数据准确，各相关数据必须吻合一致，且相互有明确的索引及标识；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5.7在计价文件编制过程中，乙方必须尊重甲方的意见、解释及补充要求，甲方有权要求乙方对计价文件进行适当修改以便符合其要求；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5.8 乙方提供的成果文件甲方采用比例抽查审核方式。在成果文件选择20%以上（含20%）（比例按建筑面积计算）进行比例抽查审核，并对抽查部分核减金额进行总核减金额换算。</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总核减金额换算公式：抽查部分核减金额*（1/抽查比例）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5.9乙方提供的成果文件总价误差应控制在2％以内，单个子目工程量误差应控制在3％以内；主要工程内容不应出现漏项漏量等情况。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5.10以上误差评判标准以甲、乙、承包商等第三方核对共同确认结果为准。</w:t>
      </w:r>
    </w:p>
    <w:p>
      <w:pPr>
        <w:spacing w:line="360" w:lineRule="auto"/>
        <w:ind w:left="-2" w:leftChars="-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质量保证措施</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6.1如果在计算范围、口径一致的情况下，出现以上第5.9条约定总价误差超过2％</w:t>
      </w:r>
      <w:r>
        <w:rPr>
          <w:rFonts w:hint="eastAsia" w:ascii="宋体" w:hAnsi="宋体" w:eastAsia="宋体" w:cs="宋体"/>
          <w:color w:val="auto"/>
          <w:sz w:val="21"/>
          <w:szCs w:val="21"/>
          <w:highlight w:val="none"/>
        </w:rPr>
        <w:t>(含2%)</w:t>
      </w:r>
      <w:r>
        <w:rPr>
          <w:rFonts w:hint="eastAsia" w:ascii="宋体" w:hAnsi="宋体" w:eastAsia="宋体" w:cs="宋体"/>
          <w:b/>
          <w:color w:val="auto"/>
          <w:sz w:val="21"/>
          <w:szCs w:val="21"/>
          <w:highlight w:val="none"/>
        </w:rPr>
        <w:t>则视为成果质量不合格, 将遵循以下原则：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6.1.1核减率在2%(含2%)～2.5%，扣罚本合同总价的20%；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6.1.2核减率在2.5%(含2.5%)~3%，扣罚本合同总价的30%；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6.1.3核减率在3%(含3%)以上，扣罚本合同总价的50%；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本条扣罚按核减率所在最高区间扣罚，不拆分区间进行扣罚。</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6.2当核对结果出现以下业务过失，将遵循以下原则：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6.2.1未按合同条款规定执行计量或计价，分为：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6.2.1.1超合同约定的承包范围计算，失误一次，扣罚本合同总价的10%；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6.2.1.2未按合同约定的计价方式进行计算，失误一次，扣罚本合同总价的10%；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6.2.1.3将甲分包工程的工程造价计入总包工程造价中，失误一次，扣罚本合同总价的10%；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6.2.1.4将甲供材料的工程造价计入总包工程造价中，失误一次，扣罚本合同总价的10%；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6.2.1.5未按合同约定的下浮率进行下浮，失误一次，扣罚本合同总价的10%；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6.2.2未按图纸做法进行套价，失误一次，扣罚本合同总价的10%；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6.2.3数字小数点点错引起工程量或价格增加，失误一次，扣罚本合同总价的10%；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6.2.4计量范围明显超算（如本工程20层，计算为21层），失误一次，扣罚本合同总价的10%；</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以上条款若在扣罚过程中发生重复扣罚，按第6.2条优先扣罚，核减总金额扣除业务过失部分核减金额后的金额再按照第6.1条进行扣罚。</w:t>
      </w:r>
    </w:p>
    <w:p>
      <w:pPr>
        <w:spacing w:line="360" w:lineRule="auto"/>
        <w:ind w:left="472"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编制依据</w:t>
      </w:r>
    </w:p>
    <w:p>
      <w:pPr>
        <w:spacing w:line="360" w:lineRule="auto"/>
        <w:ind w:left="533" w:leftChars="2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招标文件、招标图纸、施工合同等与之相关文件。</w:t>
      </w:r>
    </w:p>
    <w:p>
      <w:pPr>
        <w:spacing w:line="360" w:lineRule="auto"/>
        <w:ind w:left="472" w:hanging="413" w:hanging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第八条 双方责任</w:t>
      </w:r>
    </w:p>
    <w:p>
      <w:pPr>
        <w:spacing w:line="360" w:lineRule="auto"/>
        <w:ind w:left="538" w:left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甲方责任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8.1.1及时向乙方提供工程项目所需图纸、相关资料。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8.1.2按双方约定支付乙方咨询服务费。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8.1.3未经乙方同意，不得修改乙方的所有成果文件。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8.1.4在乙方工作期间密切配合，提供工作方便,甲方工作人员不得阻碍乙方以及乙方工作人员的正常工作。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8.1.6甲方在工程量清单编制期间，有权到乙方工作地检查工作计划完成情况及完成质量情况。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乙方责任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8.2.1严格按照国家、</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省和有关文件规定，及时准确地进行计量及编制。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8.2.2乙方对外提供的工作成果（含工程量计算底稿、工程量清单等相关书面文件及电子文件）的真实性、精确性、合理性、合法性负责，且做到文本资料条理清晰。</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8.2.3在各项目造价咨询工作中，咨询人委派的咨询人员必须固定。原则上不允许更换，如咨询人有特殊情况需更换咨询员，必须在更换以前提前十五天书面通知甲方，并经甲方同意后方可更换。</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8.2.4乙方须认真清点并保管好甲方提供的图纸及相关造价资料，工程量清单编制完成后，乙方须如数、原样归还甲方提供的全部造价资料。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8.2.5按本合同约定向甲方提供咨询成果文件并提交完整的工程造价咨询报告。</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8.2.7乙方各项工作成果，经甲方审核，如发现工程量计算、套价项目等方面出现错误，乙方须在甲方指出问题后</w:t>
      </w:r>
      <w:r>
        <w:rPr>
          <w:rFonts w:hint="eastAsia" w:ascii="宋体" w:hAnsi="宋体" w:eastAsia="宋体" w:cs="宋体"/>
          <w:bCs/>
          <w:color w:val="auto"/>
          <w:sz w:val="21"/>
          <w:szCs w:val="21"/>
          <w:highlight w:val="none"/>
          <w:u w:val="single"/>
        </w:rPr>
        <w:t>2个工作日内</w:t>
      </w:r>
      <w:r>
        <w:rPr>
          <w:rFonts w:hint="eastAsia" w:ascii="宋体" w:hAnsi="宋体" w:eastAsia="宋体" w:cs="宋体"/>
          <w:color w:val="auto"/>
          <w:sz w:val="21"/>
          <w:szCs w:val="21"/>
          <w:highlight w:val="none"/>
        </w:rPr>
        <w:t>进行全面复核并提交修改后的工作结果。</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8.2.8协助甲方解答投标单位投标文件中关于工程量清单部分的疑问。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8.2.9乙方不得私自与参与本工程有利益关系的第三方接触。</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第九条 付款方式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9.1乙方按合同约定提交约定的初步成果文件，经甲方确认后</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，甲方支付乙方咨询服务费合同价的</w:t>
      </w:r>
      <w:r>
        <w:rPr>
          <w:rFonts w:hint="eastAsia" w:ascii="宋体" w:hAnsi="宋体" w:eastAsia="宋体" w:cs="宋体"/>
          <w:b/>
          <w:bCs/>
          <w:color w:val="auto"/>
          <w:sz w:val="21"/>
          <w:szCs w:val="21"/>
          <w:highlight w:val="none"/>
          <w:u w:val="single"/>
        </w:rPr>
        <w:t>50%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9.2乙方按合同约定提交约定的正式成果文件，并经甲方确认后</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，甲方向乙方支付至咨询服务费合同价的</w:t>
      </w:r>
      <w:r>
        <w:rPr>
          <w:rFonts w:hint="eastAsia" w:ascii="宋体" w:hAnsi="宋体" w:eastAsia="宋体" w:cs="宋体"/>
          <w:bCs/>
          <w:color w:val="auto"/>
          <w:sz w:val="21"/>
          <w:szCs w:val="21"/>
          <w:highlight w:val="none"/>
          <w:u w:val="single"/>
        </w:rPr>
        <w:t>80%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9.3本合同在乙方提交完整合格竣工验收结算资料并经甲乙双方确认结算金额后</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，甲方向乙方支付至咨询服务费结算价的</w:t>
      </w:r>
      <w:r>
        <w:rPr>
          <w:rFonts w:hint="eastAsia" w:ascii="宋体" w:hAnsi="宋体" w:eastAsia="宋体" w:cs="宋体"/>
          <w:bCs/>
          <w:color w:val="auto"/>
          <w:sz w:val="21"/>
          <w:szCs w:val="21"/>
          <w:highlight w:val="none"/>
          <w:u w:val="single"/>
        </w:rPr>
        <w:t>100%</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9.4每次付款前，乙方应向甲方提供符合法律规定的增值税专用发票，甲方收到发票和其他请款资料并核对无误后，</w:t>
      </w:r>
      <w:r>
        <w:rPr>
          <w:rFonts w:hint="eastAsia" w:ascii="宋体" w:hAnsi="宋体" w:eastAsia="宋体" w:cs="宋体"/>
          <w:bCs/>
          <w:color w:val="auto"/>
          <w:sz w:val="21"/>
          <w:szCs w:val="21"/>
          <w:highlight w:val="none"/>
          <w:u w:val="single"/>
        </w:rPr>
        <w:t>30个日历天内</w:t>
      </w:r>
      <w:r>
        <w:rPr>
          <w:rFonts w:hint="eastAsia" w:ascii="宋体" w:hAnsi="宋体" w:eastAsia="宋体" w:cs="宋体"/>
          <w:color w:val="auto"/>
          <w:sz w:val="21"/>
          <w:szCs w:val="21"/>
          <w:highlight w:val="none"/>
        </w:rPr>
        <w:t>以银行转账方式付款。乙方收款账户信息如下：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户名：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pPr>
        <w:spacing w:line="360" w:lineRule="auto"/>
        <w:ind w:left="67" w:leftChars="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第十条 违约责任</w:t>
      </w:r>
    </w:p>
    <w:p>
      <w:pPr>
        <w:spacing w:line="360" w:lineRule="auto"/>
        <w:ind w:left="67" w:leftChars="28"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甲方违约责任：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10.1.1甲方不能按约定时间提供施工图纸、相关资料或对乙方问题进行书面答复的，由此，造成时间延长的由甲方负责，完成时间顺延。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乙方违约责任</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10.2.1因乙方原因未按规定时间完成甲方委托的业务，每延长1 个日历天，甲方按人民币</w:t>
      </w:r>
      <w:r>
        <w:rPr>
          <w:rFonts w:hint="eastAsia" w:ascii="宋体" w:hAnsi="宋体" w:eastAsia="宋体" w:cs="宋体"/>
          <w:color w:val="auto"/>
          <w:sz w:val="21"/>
          <w:szCs w:val="21"/>
          <w:highlight w:val="none"/>
          <w:u w:val="none"/>
        </w:rPr>
        <w:t>2000</w:t>
      </w:r>
      <w:r>
        <w:rPr>
          <w:rFonts w:hint="eastAsia" w:ascii="宋体" w:hAnsi="宋体" w:eastAsia="宋体" w:cs="宋体"/>
          <w:color w:val="auto"/>
          <w:sz w:val="21"/>
          <w:szCs w:val="21"/>
          <w:highlight w:val="none"/>
        </w:rPr>
        <w:t>元扣除咨询服务费；延长时间累计达到</w:t>
      </w:r>
      <w:r>
        <w:rPr>
          <w:rFonts w:hint="eastAsia" w:ascii="宋体" w:hAnsi="宋体" w:eastAsia="宋体" w:cs="宋体"/>
          <w:color w:val="auto"/>
          <w:sz w:val="21"/>
          <w:szCs w:val="21"/>
          <w:highlight w:val="none"/>
          <w:u w:val="none"/>
        </w:rPr>
        <w:t>10个日历天</w:t>
      </w:r>
      <w:r>
        <w:rPr>
          <w:rFonts w:hint="eastAsia" w:ascii="宋体" w:hAnsi="宋体" w:eastAsia="宋体" w:cs="宋体"/>
          <w:color w:val="auto"/>
          <w:sz w:val="21"/>
          <w:szCs w:val="21"/>
          <w:highlight w:val="none"/>
        </w:rPr>
        <w:t>，甲方有权解除合同，且乙方需向甲方支付违约金</w:t>
      </w:r>
      <w:r>
        <w:rPr>
          <w:rFonts w:hint="eastAsia" w:ascii="宋体" w:hAnsi="宋体" w:eastAsia="宋体" w:cs="宋体"/>
          <w:color w:val="auto"/>
          <w:sz w:val="21"/>
          <w:szCs w:val="21"/>
          <w:highlight w:val="none"/>
          <w:u w:val="none"/>
        </w:rPr>
        <w:t>50000元</w:t>
      </w:r>
      <w:r>
        <w:rPr>
          <w:rFonts w:hint="eastAsia" w:ascii="宋体" w:hAnsi="宋体" w:eastAsia="宋体" w:cs="宋体"/>
          <w:color w:val="auto"/>
          <w:sz w:val="21"/>
          <w:szCs w:val="21"/>
          <w:highlight w:val="none"/>
        </w:rPr>
        <w:t>。如非乙方原因延误完成时间的，则完成日期顺延。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10.2.2因乙方原因导致成果文件有严重错误，并造成甲方直接经济损失的，乙方应承担赔偿责任，最高赔偿金额不超过本合同咨询服务费总额。</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10.2.3乙方在工作期间出现受贿、索贿等情况的，乙方承担法律责任，并赔偿因此给甲方造成的损失。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以上所有违约金、赔偿金和其它扣减金额不重复计算，且违约金、赔偿金和其它扣减金额的支付总额度不超过本合同咨询服务费的总额。</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第十一条 合同组成文件</w:t>
      </w:r>
    </w:p>
    <w:p>
      <w:pPr>
        <w:spacing w:line="360" w:lineRule="auto"/>
        <w:ind w:left="228"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本合同文件及附件。</w:t>
      </w:r>
    </w:p>
    <w:p>
      <w:pPr>
        <w:spacing w:line="360" w:lineRule="auto"/>
        <w:ind w:left="228" w:leftChars="9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11.2合同执行过程中双方往来的书面文件等。</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第十二条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ascii="宋体" w:hAnsi="宋体" w:eastAsia="宋体" w:cs="宋体"/>
          <w:bCs/>
          <w:color w:val="auto"/>
          <w:sz w:val="21"/>
          <w:szCs w:val="21"/>
          <w:highlight w:val="none"/>
          <w:u w:val="single"/>
        </w:rPr>
        <w:t>10%</w:t>
      </w:r>
      <w:r>
        <w:rPr>
          <w:rFonts w:hint="eastAsia" w:ascii="宋体" w:hAnsi="宋体" w:eastAsia="宋体" w:cs="宋体"/>
          <w:bCs/>
          <w:color w:val="auto"/>
          <w:sz w:val="21"/>
          <w:szCs w:val="21"/>
          <w:highlight w:val="none"/>
        </w:rPr>
        <w:t>的</w:t>
      </w:r>
      <w:r>
        <w:rPr>
          <w:rFonts w:hint="eastAsia" w:ascii="宋体" w:hAnsi="宋体" w:eastAsia="宋体" w:cs="宋体"/>
          <w:color w:val="auto"/>
          <w:sz w:val="21"/>
          <w:szCs w:val="21"/>
          <w:highlight w:val="none"/>
        </w:rPr>
        <w:t>违约金，造成损失的，应予全部赔偿，最高赔偿金额不超过本合同咨询服务费总额。</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第十三条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13.1本合同未尽事宜按住建部、</w:t>
      </w:r>
      <w:r>
        <w:rPr>
          <w:rFonts w:hint="eastAsia" w:ascii="宋体" w:hAnsi="宋体" w:eastAsia="宋体" w:cs="宋体"/>
          <w:color w:val="auto"/>
          <w:sz w:val="21"/>
          <w:szCs w:val="21"/>
          <w:highlight w:val="none"/>
          <w:u w:val="single"/>
        </w:rPr>
        <w:t>广东</w:t>
      </w:r>
      <w:r>
        <w:rPr>
          <w:rFonts w:hint="eastAsia" w:ascii="宋体" w:hAnsi="宋体" w:eastAsia="宋体" w:cs="宋体"/>
          <w:color w:val="auto"/>
          <w:sz w:val="21"/>
          <w:szCs w:val="21"/>
          <w:highlight w:val="none"/>
        </w:rPr>
        <w:t>省住建厅和</w:t>
      </w:r>
      <w:r>
        <w:rPr>
          <w:rFonts w:hint="eastAsia" w:ascii="宋体" w:hAnsi="宋体" w:eastAsia="宋体" w:cs="宋体"/>
          <w:color w:val="auto"/>
          <w:sz w:val="21"/>
          <w:szCs w:val="21"/>
          <w:highlight w:val="none"/>
          <w:u w:val="single"/>
        </w:rPr>
        <w:t>东莞</w:t>
      </w:r>
      <w:r>
        <w:rPr>
          <w:rFonts w:hint="eastAsia" w:ascii="宋体" w:hAnsi="宋体" w:eastAsia="宋体" w:cs="宋体"/>
          <w:color w:val="auto"/>
          <w:sz w:val="21"/>
          <w:szCs w:val="21"/>
          <w:highlight w:val="none"/>
        </w:rPr>
        <w:t>市住建局有关规定，双方协商解决，并另行签订补充协议。补充协议与本合同具有同等法律效力。</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第十四条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第十五条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本合同自双方签订之日起生效。本合同壹式</w:t>
      </w:r>
      <w:r>
        <w:rPr>
          <w:rFonts w:hint="eastAsia" w:ascii="宋体" w:hAnsi="宋体" w:eastAsia="宋体" w:cs="宋体"/>
          <w:bCs/>
          <w:color w:val="auto"/>
          <w:sz w:val="21"/>
          <w:szCs w:val="21"/>
          <w:highlight w:val="none"/>
          <w:u w:val="single"/>
        </w:rPr>
        <w:t>陆</w:t>
      </w:r>
      <w:r>
        <w:rPr>
          <w:rFonts w:hint="eastAsia" w:ascii="宋体" w:hAnsi="宋体" w:eastAsia="宋体" w:cs="宋体"/>
          <w:color w:val="auto"/>
          <w:sz w:val="21"/>
          <w:szCs w:val="21"/>
          <w:highlight w:val="none"/>
        </w:rPr>
        <w:t>份，甲方执</w:t>
      </w:r>
      <w:r>
        <w:rPr>
          <w:rFonts w:hint="eastAsia" w:ascii="宋体" w:hAnsi="宋体" w:eastAsia="宋体" w:cs="宋体"/>
          <w:bCs/>
          <w:color w:val="auto"/>
          <w:sz w:val="21"/>
          <w:szCs w:val="21"/>
          <w:highlight w:val="none"/>
          <w:u w:val="single"/>
        </w:rPr>
        <w:t>肆</w:t>
      </w:r>
      <w:r>
        <w:rPr>
          <w:rFonts w:hint="eastAsia" w:ascii="宋体" w:hAnsi="宋体" w:eastAsia="宋体" w:cs="宋体"/>
          <w:color w:val="auto"/>
          <w:sz w:val="21"/>
          <w:szCs w:val="21"/>
          <w:highlight w:val="none"/>
        </w:rPr>
        <w:t>份，乙方执</w:t>
      </w:r>
      <w:r>
        <w:rPr>
          <w:rFonts w:hint="eastAsia" w:ascii="宋体" w:hAnsi="宋体" w:eastAsia="宋体" w:cs="宋体"/>
          <w:bCs/>
          <w:color w:val="auto"/>
          <w:sz w:val="21"/>
          <w:szCs w:val="21"/>
          <w:highlight w:val="none"/>
          <w:u w:val="single"/>
        </w:rPr>
        <w:t>贰</w:t>
      </w:r>
      <w:r>
        <w:rPr>
          <w:rFonts w:hint="eastAsia" w:ascii="宋体" w:hAnsi="宋体" w:eastAsia="宋体" w:cs="宋体"/>
          <w:color w:val="auto"/>
          <w:sz w:val="21"/>
          <w:szCs w:val="21"/>
          <w:highlight w:val="none"/>
        </w:rPr>
        <w:t>份，具同等法律效力。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附件1：《阳光合作协议》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附件2：《项目保密承诺书》</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附件3：《投入本合同下</w:t>
      </w:r>
      <w:r>
        <w:rPr>
          <w:rFonts w:hint="eastAsia" w:ascii="宋体" w:hAnsi="宋体" w:eastAsia="宋体" w:cs="宋体"/>
          <w:bCs/>
          <w:color w:val="auto"/>
          <w:sz w:val="21"/>
          <w:szCs w:val="21"/>
          <w:highlight w:val="none"/>
        </w:rPr>
        <w:t>项目服务人员配置一览表》</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附件4</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东莞市</w:t>
      </w:r>
      <w:r>
        <w:rPr>
          <w:rFonts w:hint="eastAsia" w:ascii="宋体" w:hAnsi="宋体" w:eastAsia="宋体" w:cs="宋体"/>
          <w:color w:val="auto"/>
          <w:sz w:val="21"/>
          <w:szCs w:val="21"/>
          <w:highlight w:val="none"/>
          <w:lang w:val="zh-CN"/>
        </w:rPr>
        <w:t>财政投资项目造价咨询服务收费项目和收费标准》</w:t>
      </w:r>
    </w:p>
    <w:p>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附件5：工程造价咨询委托单</w:t>
      </w:r>
    </w:p>
    <w:p>
      <w:pPr>
        <w:spacing w:line="360" w:lineRule="auto"/>
        <w:ind w:left="4513" w:leftChars="-1" w:hanging="4515" w:hangingChars="2150"/>
        <w:rPr>
          <w:rFonts w:hint="eastAsia" w:ascii="宋体" w:hAnsi="宋体" w:eastAsia="宋体" w:cs="宋体"/>
          <w:color w:val="auto"/>
          <w:sz w:val="21"/>
          <w:szCs w:val="21"/>
          <w:highlight w:val="none"/>
        </w:rPr>
      </w:pPr>
    </w:p>
    <w:p>
      <w:pPr>
        <w:spacing w:line="288" w:lineRule="auto"/>
        <w:ind w:left="4513" w:leftChars="-1" w:hanging="4515" w:hangingChars="2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pPr>
        <w:spacing w:line="288" w:lineRule="auto"/>
        <w:jc w:val="center"/>
        <w:rPr>
          <w:rFonts w:hint="eastAsia" w:ascii="宋体" w:hAnsi="宋体" w:eastAsia="宋体" w:cs="宋体"/>
          <w:color w:val="auto"/>
          <w:sz w:val="21"/>
          <w:szCs w:val="21"/>
          <w:highlight w:val="none"/>
        </w:rPr>
      </w:pPr>
    </w:p>
    <w:p>
      <w:pPr>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pPr>
        <w:spacing w:line="288" w:lineRule="auto"/>
        <w:rPr>
          <w:rFonts w:hint="eastAsia" w:ascii="宋体" w:hAnsi="宋体" w:eastAsia="宋体" w:cs="宋体"/>
          <w:color w:val="auto"/>
          <w:sz w:val="21"/>
          <w:szCs w:val="21"/>
          <w:highlight w:val="none"/>
        </w:rPr>
      </w:pPr>
    </w:p>
    <w:p>
      <w:pPr>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p>
      <w:pPr>
        <w:spacing w:line="288" w:lineRule="auto"/>
        <w:rPr>
          <w:rFonts w:hint="eastAsia" w:ascii="宋体" w:hAnsi="宋体" w:eastAsia="宋体" w:cs="宋体"/>
          <w:color w:val="auto"/>
          <w:sz w:val="21"/>
          <w:szCs w:val="21"/>
          <w:highlight w:val="none"/>
        </w:rPr>
      </w:pPr>
    </w:p>
    <w:p>
      <w:pPr>
        <w:spacing w:line="28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合同签订地点：东莞市</w:t>
      </w:r>
    </w:p>
    <w:p>
      <w:pPr>
        <w:spacing w:line="360" w:lineRule="auto"/>
        <w:ind w:firstLine="482" w:firstLineChars="200"/>
        <w:rPr>
          <w:rFonts w:hAnsi="宋体"/>
          <w:b/>
          <w:color w:val="auto"/>
          <w:szCs w:val="21"/>
          <w:highlight w:val="none"/>
        </w:rPr>
      </w:pPr>
      <w:r>
        <w:rPr>
          <w:rFonts w:hint="eastAsia" w:hAnsi="宋体"/>
          <w:b/>
          <w:color w:val="auto"/>
          <w:szCs w:val="21"/>
          <w:highlight w:val="none"/>
        </w:rPr>
        <w:br w:type="page"/>
      </w:r>
      <w:r>
        <w:rPr>
          <w:rFonts w:hint="eastAsia" w:hAnsi="宋体"/>
          <w:b/>
          <w:color w:val="auto"/>
          <w:szCs w:val="21"/>
          <w:highlight w:val="none"/>
        </w:rPr>
        <w:t>附件</w:t>
      </w:r>
      <w:r>
        <w:rPr>
          <w:rFonts w:hAnsi="宋体"/>
          <w:b/>
          <w:color w:val="auto"/>
          <w:szCs w:val="21"/>
          <w:highlight w:val="none"/>
        </w:rPr>
        <w:t>1：《阳光合作协议》</w:t>
      </w:r>
    </w:p>
    <w:p>
      <w:pPr>
        <w:spacing w:line="480" w:lineRule="exact"/>
        <w:jc w:val="center"/>
        <w:rPr>
          <w:rFonts w:hAnsi="宋体"/>
          <w:b/>
          <w:color w:val="auto"/>
          <w:sz w:val="44"/>
          <w:szCs w:val="44"/>
          <w:highlight w:val="none"/>
        </w:rPr>
      </w:pPr>
      <w:r>
        <w:rPr>
          <w:rFonts w:hint="eastAsia" w:hAnsi="宋体"/>
          <w:b/>
          <w:color w:val="auto"/>
          <w:sz w:val="44"/>
          <w:szCs w:val="44"/>
          <w:highlight w:val="none"/>
        </w:rPr>
        <w:t>阳光合作协议</w:t>
      </w:r>
    </w:p>
    <w:p>
      <w:pPr>
        <w:spacing w:line="480" w:lineRule="exact"/>
        <w:jc w:val="center"/>
        <w:rPr>
          <w:rFonts w:hAnsi="宋体"/>
          <w:b/>
          <w:color w:val="auto"/>
          <w:sz w:val="28"/>
          <w:szCs w:val="28"/>
          <w:highlight w:val="none"/>
        </w:rPr>
      </w:pPr>
    </w:p>
    <w:p>
      <w:pPr>
        <w:spacing w:before="120" w:beforeLines="50" w:after="120" w:afterLines="50" w:line="480" w:lineRule="exact"/>
        <w:ind w:firstLine="480" w:firstLineChars="200"/>
        <w:contextualSpacing/>
        <w:rPr>
          <w:rFonts w:hAnsi="宋体"/>
          <w:color w:val="auto"/>
          <w:szCs w:val="21"/>
          <w:highlight w:val="none"/>
        </w:rPr>
      </w:pPr>
      <w:r>
        <w:rPr>
          <w:rFonts w:hint="eastAsia" w:hAnsi="宋体"/>
          <w:color w:val="auto"/>
          <w:szCs w:val="21"/>
          <w:highlight w:val="none"/>
        </w:rPr>
        <w:t>甲方：</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东莞市旗美投资发展有限公司</w:t>
      </w:r>
      <w:r>
        <w:rPr>
          <w:rFonts w:hAnsi="宋体" w:cs="楷体"/>
          <w:b/>
          <w:bCs/>
          <w:color w:val="auto"/>
          <w:szCs w:val="21"/>
          <w:highlight w:val="none"/>
          <w:u w:val="single"/>
        </w:rPr>
        <w:t xml:space="preserve"> </w:t>
      </w:r>
      <w:r>
        <w:rPr>
          <w:rFonts w:hAnsi="宋体"/>
          <w:color w:val="auto"/>
          <w:szCs w:val="21"/>
          <w:highlight w:val="none"/>
          <w:u w:val="single"/>
        </w:rPr>
        <w:t xml:space="preserve"> </w:t>
      </w:r>
    </w:p>
    <w:p>
      <w:pPr>
        <w:pStyle w:val="198"/>
        <w:spacing w:line="480" w:lineRule="exact"/>
        <w:ind w:firstLine="480" w:firstLineChars="200"/>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before="120" w:beforeLines="50" w:after="120" w:afterLines="50" w:line="480" w:lineRule="exact"/>
        <w:contextualSpacing/>
        <w:rPr>
          <w:rFonts w:hAnsi="宋体"/>
          <w:color w:val="auto"/>
          <w:szCs w:val="21"/>
          <w:highlight w:val="none"/>
        </w:rPr>
      </w:pPr>
      <w:r>
        <w:rPr>
          <w:rFonts w:hint="eastAsia" w:hAnsi="宋体"/>
          <w:color w:val="auto"/>
          <w:szCs w:val="21"/>
          <w:highlight w:val="none"/>
        </w:rPr>
        <w:t xml:space="preserve">    甲乙双方于      年    月   日签署了       合同（以下简称原合同），为加强双方阳光合作，保证职员职业安全，甲乙双方经协商签订本协议并作为双方共同遵守的阳光合作行为准则。</w:t>
      </w:r>
    </w:p>
    <w:p>
      <w:pPr>
        <w:widowControl/>
        <w:numPr>
          <w:ilvl w:val="0"/>
          <w:numId w:val="23"/>
        </w:numPr>
        <w:spacing w:before="120" w:beforeLines="50" w:after="120" w:afterLines="50" w:line="480" w:lineRule="exact"/>
        <w:contextualSpacing/>
        <w:rPr>
          <w:rFonts w:hAnsi="宋体"/>
          <w:b/>
          <w:color w:val="auto"/>
          <w:szCs w:val="21"/>
          <w:highlight w:val="none"/>
        </w:rPr>
      </w:pPr>
      <w:r>
        <w:rPr>
          <w:rFonts w:hint="eastAsia" w:hAnsi="宋体"/>
          <w:b/>
          <w:color w:val="auto"/>
          <w:szCs w:val="21"/>
          <w:highlight w:val="none"/>
        </w:rPr>
        <w:t>甲方责任</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1.甲方有责任向乙方介绍本单位有关采购管理通用原则和本协议的规定。</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2.甲方有责任对本单位相关人员进行阳光合作教育。</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4.甲方人员如违反阳光合作管理制度及本协议规定，甲方视情节轻重、影响大小给予行政及经济处罚。</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5．对于乙方举报甲方人员违反阳光合作规定的情况，甲方应及时进行调查，根据调查情况进行处理，并将调查结果向乙方反馈。</w:t>
      </w:r>
    </w:p>
    <w:p>
      <w:pPr>
        <w:spacing w:before="120" w:beforeLines="50" w:after="120" w:afterLines="50" w:line="480" w:lineRule="exact"/>
        <w:ind w:left="120" w:leftChars="50" w:firstLine="480" w:firstLineChars="200"/>
        <w:contextualSpacing/>
        <w:rPr>
          <w:rFonts w:hAnsi="宋体"/>
          <w:color w:val="auto"/>
          <w:szCs w:val="21"/>
          <w:highlight w:val="none"/>
        </w:rPr>
      </w:pPr>
      <w:r>
        <w:rPr>
          <w:rFonts w:hint="eastAsia" w:hAnsi="宋体"/>
          <w:color w:val="auto"/>
          <w:szCs w:val="21"/>
          <w:highlight w:val="none"/>
        </w:rPr>
        <w:t>6.接受举报的一方应为举报方保密，不得对举报方进行报复，对举报属实和严格遵守《阳光合作协议》的合作方，在同等条件下给予后续合作的优先权。</w:t>
      </w:r>
    </w:p>
    <w:p>
      <w:pPr>
        <w:widowControl/>
        <w:numPr>
          <w:ilvl w:val="0"/>
          <w:numId w:val="23"/>
        </w:numPr>
        <w:spacing w:before="120" w:beforeLines="50" w:after="120" w:afterLines="50" w:line="480" w:lineRule="exact"/>
        <w:contextualSpacing/>
        <w:rPr>
          <w:rFonts w:hAnsi="宋体"/>
          <w:b/>
          <w:color w:val="auto"/>
          <w:szCs w:val="21"/>
          <w:highlight w:val="none"/>
        </w:rPr>
      </w:pPr>
      <w:r>
        <w:rPr>
          <w:rFonts w:hint="eastAsia" w:hAnsi="宋体"/>
          <w:b/>
          <w:color w:val="auto"/>
          <w:szCs w:val="21"/>
          <w:highlight w:val="none"/>
        </w:rPr>
        <w:t>乙方责任</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1.乙方应保证乙方人员了解甲方有关采购管理通用原则和及本协议的规定，并遵照执行。</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2.乙方不得以任何形式给予甲方人员回扣、赠送实物、现金、有价证券、礼券等有价物品或提供旅游等其他可能影响职务行为公正履行的活动（以下统称“财物”）。</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3.乙方有责任接受甲方对乙方在合作期间阳光合作管理执行情况的监督，并对甲方相关调查工作主动配合。</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4.乙方有义务就甲方人员任何形式的索取或收受财物行为及时向甲方（直接联系人为东莞实业投资控股集团有限公司纪检监察室）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 xml:space="preserve">5．甲方接受乙方实名或匿名举报，保证为举报者的信息保密，常设举报部门及电话： </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举报受理部门：东莞实业投资控股集团有限公司纪检监察部</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东实集团举报邮箱：dgsyjjjc@163.com</w:t>
      </w:r>
    </w:p>
    <w:p>
      <w:pPr>
        <w:spacing w:before="120" w:beforeLines="50" w:after="120" w:afterLines="50" w:line="480" w:lineRule="exact"/>
        <w:ind w:left="120" w:leftChars="50" w:firstLine="480" w:firstLineChars="200"/>
        <w:contextualSpacing/>
        <w:rPr>
          <w:rFonts w:hint="eastAsia" w:hAnsi="宋体"/>
          <w:color w:val="auto"/>
          <w:szCs w:val="21"/>
          <w:highlight w:val="none"/>
        </w:rPr>
      </w:pPr>
      <w:r>
        <w:rPr>
          <w:rFonts w:hint="eastAsia" w:hAnsi="宋体"/>
          <w:color w:val="auto"/>
          <w:szCs w:val="21"/>
          <w:highlight w:val="none"/>
        </w:rPr>
        <w:t>东实集团举报电话：0769-28822331（周一至周五9:00-12:00和14:00-18:00）</w:t>
      </w:r>
    </w:p>
    <w:p>
      <w:pPr>
        <w:spacing w:before="120" w:beforeLines="50" w:after="120" w:afterLines="50" w:line="480" w:lineRule="exact"/>
        <w:ind w:left="120" w:leftChars="50" w:firstLine="480" w:firstLineChars="200"/>
        <w:contextualSpacing/>
        <w:rPr>
          <w:rFonts w:hAnsi="宋体"/>
          <w:color w:val="auto"/>
          <w:szCs w:val="21"/>
          <w:highlight w:val="none"/>
        </w:rPr>
      </w:pPr>
      <w:r>
        <w:rPr>
          <w:rFonts w:hint="eastAsia" w:hAnsi="宋体"/>
          <w:color w:val="auto"/>
          <w:szCs w:val="21"/>
          <w:highlight w:val="none"/>
        </w:rPr>
        <w:t>邮寄地址：东莞市东城区八一路1号机关二号大院9号楼204室，东莞实业投资控股集团有限公司纪检监察部收，邮编523000</w:t>
      </w:r>
      <w:r>
        <w:rPr>
          <w:rFonts w:hAnsi="宋体"/>
          <w:color w:val="auto"/>
          <w:szCs w:val="21"/>
          <w:highlight w:val="none"/>
        </w:rPr>
        <w:t>。</w:t>
      </w:r>
    </w:p>
    <w:p>
      <w:pPr>
        <w:widowControl/>
        <w:numPr>
          <w:ilvl w:val="0"/>
          <w:numId w:val="23"/>
        </w:numPr>
        <w:spacing w:before="120" w:beforeLines="50" w:after="120" w:afterLines="50" w:line="480" w:lineRule="exact"/>
        <w:contextualSpacing/>
        <w:rPr>
          <w:rFonts w:hAnsi="宋体"/>
          <w:b/>
          <w:color w:val="auto"/>
          <w:szCs w:val="21"/>
          <w:highlight w:val="none"/>
        </w:rPr>
      </w:pPr>
      <w:r>
        <w:rPr>
          <w:rFonts w:hint="eastAsia" w:hAnsi="宋体"/>
          <w:b/>
          <w:color w:val="auto"/>
          <w:szCs w:val="21"/>
          <w:highlight w:val="none"/>
        </w:rPr>
        <w:t>其他</w:t>
      </w:r>
    </w:p>
    <w:p>
      <w:pPr>
        <w:spacing w:before="120" w:beforeLines="50" w:after="120" w:afterLines="50" w:line="480" w:lineRule="exact"/>
        <w:ind w:left="120" w:leftChars="50" w:firstLine="480" w:firstLineChars="200"/>
        <w:contextualSpacing/>
        <w:rPr>
          <w:rFonts w:hAnsi="宋体"/>
          <w:color w:val="auto"/>
          <w:szCs w:val="21"/>
          <w:highlight w:val="none"/>
        </w:rPr>
      </w:pPr>
      <w:r>
        <w:rPr>
          <w:rFonts w:hint="eastAsia" w:hAnsi="宋体"/>
          <w:color w:val="auto"/>
          <w:szCs w:val="21"/>
          <w:highlight w:val="none"/>
        </w:rPr>
        <w:t>1.本协议是原合同的补充协议，与原合同有同等法律效力。</w:t>
      </w:r>
    </w:p>
    <w:p>
      <w:pPr>
        <w:spacing w:before="120" w:beforeLines="50" w:after="120" w:afterLines="50" w:line="480" w:lineRule="exact"/>
        <w:ind w:left="120" w:leftChars="50" w:firstLine="480" w:firstLineChars="200"/>
        <w:contextualSpacing/>
        <w:rPr>
          <w:rFonts w:hAnsi="宋体"/>
          <w:color w:val="auto"/>
          <w:szCs w:val="21"/>
          <w:highlight w:val="none"/>
        </w:rPr>
      </w:pPr>
      <w:r>
        <w:rPr>
          <w:rFonts w:hint="eastAsia" w:hAnsi="宋体"/>
          <w:color w:val="auto"/>
          <w:szCs w:val="21"/>
          <w:highlight w:val="none"/>
        </w:rPr>
        <w:t>2.本协议一式</w:t>
      </w:r>
      <w:r>
        <w:rPr>
          <w:rFonts w:hint="eastAsia" w:hAnsi="宋体"/>
          <w:color w:val="auto"/>
          <w:szCs w:val="21"/>
          <w:highlight w:val="none"/>
          <w:u w:val="single"/>
        </w:rPr>
        <w:t xml:space="preserve">  </w:t>
      </w:r>
      <w:r>
        <w:rPr>
          <w:rFonts w:hint="eastAsia" w:hAnsi="宋体"/>
          <w:color w:val="auto"/>
          <w:szCs w:val="21"/>
          <w:highlight w:val="none"/>
        </w:rPr>
        <w:t>份，甲方</w:t>
      </w:r>
      <w:r>
        <w:rPr>
          <w:rFonts w:hint="eastAsia" w:hAnsi="宋体"/>
          <w:color w:val="auto"/>
          <w:szCs w:val="21"/>
          <w:highlight w:val="none"/>
          <w:u w:val="single"/>
        </w:rPr>
        <w:t xml:space="preserve">  </w:t>
      </w:r>
      <w:r>
        <w:rPr>
          <w:rFonts w:hint="eastAsia" w:hAnsi="宋体"/>
          <w:color w:val="auto"/>
          <w:szCs w:val="21"/>
          <w:highlight w:val="none"/>
        </w:rPr>
        <w:t>份，乙方</w:t>
      </w:r>
      <w:r>
        <w:rPr>
          <w:rFonts w:hint="eastAsia" w:hAnsi="宋体"/>
          <w:color w:val="auto"/>
          <w:szCs w:val="21"/>
          <w:highlight w:val="none"/>
          <w:u w:val="single"/>
        </w:rPr>
        <w:t xml:space="preserve">  </w:t>
      </w:r>
      <w:r>
        <w:rPr>
          <w:rFonts w:hint="eastAsia" w:hAnsi="宋体"/>
          <w:color w:val="auto"/>
          <w:szCs w:val="21"/>
          <w:highlight w:val="none"/>
        </w:rPr>
        <w:t>份, 具有同等法律效力。</w:t>
      </w:r>
    </w:p>
    <w:p>
      <w:pPr>
        <w:spacing w:before="120" w:beforeLines="50" w:after="120" w:afterLines="50" w:line="480" w:lineRule="exact"/>
        <w:ind w:left="120" w:leftChars="50" w:firstLine="480" w:firstLineChars="200"/>
        <w:contextualSpacing/>
        <w:rPr>
          <w:rFonts w:hAnsi="宋体"/>
          <w:color w:val="auto"/>
          <w:szCs w:val="21"/>
          <w:highlight w:val="none"/>
        </w:rPr>
      </w:pPr>
      <w:r>
        <w:rPr>
          <w:rFonts w:hint="eastAsia" w:hAnsi="宋体"/>
          <w:color w:val="auto"/>
          <w:szCs w:val="21"/>
          <w:highlight w:val="none"/>
        </w:rPr>
        <w:t>3.本协议经双方签署后生效。</w:t>
      </w:r>
    </w:p>
    <w:p>
      <w:pPr>
        <w:spacing w:before="120" w:beforeLines="50" w:after="120" w:afterLines="50" w:line="480" w:lineRule="exact"/>
        <w:ind w:right="26"/>
        <w:contextualSpacing/>
        <w:rPr>
          <w:rFonts w:hAnsi="宋体"/>
          <w:color w:val="auto"/>
          <w:szCs w:val="21"/>
          <w:highlight w:val="none"/>
        </w:rPr>
      </w:pPr>
    </w:p>
    <w:p>
      <w:pPr>
        <w:spacing w:before="120" w:beforeLines="50" w:after="120" w:afterLines="50" w:line="480" w:lineRule="exact"/>
        <w:ind w:right="26" w:firstLine="360" w:firstLineChars="150"/>
        <w:contextualSpacing/>
        <w:rPr>
          <w:rFonts w:hAnsi="宋体"/>
          <w:color w:val="auto"/>
          <w:szCs w:val="21"/>
          <w:highlight w:val="none"/>
        </w:rPr>
      </w:pPr>
      <w:r>
        <w:rPr>
          <w:rFonts w:hint="eastAsia" w:hAnsi="宋体"/>
          <w:color w:val="auto"/>
          <w:szCs w:val="21"/>
          <w:highlight w:val="none"/>
        </w:rPr>
        <w:t>甲方（公章）：</w:t>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 xml:space="preserve">          乙方（公章）：</w:t>
      </w:r>
    </w:p>
    <w:p>
      <w:pPr>
        <w:spacing w:before="120" w:beforeLines="50" w:after="120" w:afterLines="50" w:line="480" w:lineRule="exact"/>
        <w:ind w:right="26" w:firstLine="964" w:firstLineChars="400"/>
        <w:contextualSpacing/>
        <w:rPr>
          <w:rFonts w:hAnsi="宋体"/>
          <w:b/>
          <w:color w:val="auto"/>
          <w:szCs w:val="21"/>
          <w:highlight w:val="none"/>
        </w:rPr>
      </w:pPr>
    </w:p>
    <w:p>
      <w:pPr>
        <w:spacing w:before="120" w:beforeLines="50" w:after="120" w:afterLines="50" w:line="480" w:lineRule="exact"/>
        <w:ind w:right="26" w:firstLine="360" w:firstLineChars="150"/>
        <w:contextualSpacing/>
        <w:rPr>
          <w:rFonts w:hAnsi="宋体"/>
          <w:color w:val="auto"/>
          <w:szCs w:val="21"/>
          <w:highlight w:val="none"/>
        </w:rPr>
      </w:pPr>
      <w:r>
        <w:rPr>
          <w:rFonts w:hint="eastAsia" w:hAnsi="宋体"/>
          <w:color w:val="auto"/>
          <w:szCs w:val="21"/>
          <w:highlight w:val="none"/>
        </w:rPr>
        <w:t>法定代表人（授权代表）：</w:t>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ab/>
      </w:r>
      <w:r>
        <w:rPr>
          <w:rFonts w:hint="eastAsia" w:hAnsi="宋体"/>
          <w:color w:val="auto"/>
          <w:szCs w:val="21"/>
          <w:highlight w:val="none"/>
        </w:rPr>
        <w:t xml:space="preserve">   法定代表人（授权代表）：</w:t>
      </w:r>
    </w:p>
    <w:p>
      <w:pPr>
        <w:spacing w:before="120" w:beforeLines="50" w:after="120" w:afterLines="50" w:line="480" w:lineRule="exact"/>
        <w:ind w:right="26" w:firstLine="960" w:firstLineChars="400"/>
        <w:contextualSpacing/>
        <w:rPr>
          <w:rFonts w:hAnsi="宋体"/>
          <w:color w:val="auto"/>
          <w:szCs w:val="21"/>
          <w:highlight w:val="none"/>
        </w:rPr>
      </w:pPr>
    </w:p>
    <w:p>
      <w:pPr>
        <w:spacing w:before="120" w:beforeLines="50" w:after="120" w:afterLines="50" w:line="480" w:lineRule="exact"/>
        <w:ind w:right="26" w:firstLine="360" w:firstLineChars="150"/>
        <w:contextualSpacing/>
        <w:rPr>
          <w:rFonts w:hAnsi="宋体"/>
          <w:color w:val="auto"/>
          <w:szCs w:val="21"/>
          <w:highlight w:val="none"/>
        </w:rPr>
      </w:pPr>
      <w:r>
        <w:rPr>
          <w:rFonts w:hint="eastAsia" w:hAnsi="宋体"/>
          <w:color w:val="auto"/>
          <w:szCs w:val="21"/>
          <w:highlight w:val="none"/>
        </w:rPr>
        <w:t>签约日期：   年   月   日</w:t>
      </w:r>
      <w:r>
        <w:rPr>
          <w:rFonts w:hAnsi="宋体"/>
          <w:color w:val="auto"/>
          <w:szCs w:val="21"/>
          <w:highlight w:val="none"/>
        </w:rPr>
        <w:tab/>
      </w:r>
      <w:r>
        <w:rPr>
          <w:rFonts w:hAnsi="宋体"/>
          <w:color w:val="auto"/>
          <w:szCs w:val="21"/>
          <w:highlight w:val="none"/>
        </w:rPr>
        <w:t xml:space="preserve">          </w:t>
      </w:r>
      <w:r>
        <w:rPr>
          <w:rFonts w:hint="eastAsia" w:hAnsi="宋体"/>
          <w:color w:val="auto"/>
          <w:szCs w:val="21"/>
          <w:highlight w:val="none"/>
        </w:rPr>
        <w:t xml:space="preserve"> 签约日期：   年   月   日</w:t>
      </w:r>
    </w:p>
    <w:p>
      <w:pPr>
        <w:spacing w:line="360" w:lineRule="auto"/>
        <w:ind w:firstLine="480" w:firstLineChars="200"/>
        <w:rPr>
          <w:rFonts w:hAnsi="宋体"/>
          <w:color w:val="auto"/>
          <w:szCs w:val="21"/>
          <w:highlight w:val="none"/>
        </w:rPr>
      </w:pPr>
      <w:r>
        <w:rPr>
          <w:rFonts w:hAnsi="宋体"/>
          <w:color w:val="auto"/>
          <w:szCs w:val="21"/>
          <w:highlight w:val="none"/>
        </w:rPr>
        <w:br w:type="page"/>
      </w:r>
      <w:r>
        <w:rPr>
          <w:rFonts w:hint="eastAsia" w:hAnsi="宋体"/>
          <w:color w:val="auto"/>
          <w:szCs w:val="21"/>
          <w:highlight w:val="none"/>
        </w:rPr>
        <w:t>附件2</w:t>
      </w:r>
      <w:r>
        <w:rPr>
          <w:rFonts w:hAnsi="宋体"/>
          <w:color w:val="auto"/>
          <w:szCs w:val="21"/>
          <w:highlight w:val="none"/>
        </w:rPr>
        <w:t>：《</w:t>
      </w:r>
      <w:r>
        <w:rPr>
          <w:rFonts w:hint="eastAsia" w:hAnsi="宋体"/>
          <w:color w:val="auto"/>
          <w:szCs w:val="21"/>
          <w:highlight w:val="none"/>
        </w:rPr>
        <w:t>项目保密承诺书</w:t>
      </w:r>
      <w:r>
        <w:rPr>
          <w:rFonts w:hAnsi="宋体"/>
          <w:color w:val="auto"/>
          <w:szCs w:val="21"/>
          <w:highlight w:val="none"/>
        </w:rPr>
        <w:t>》</w:t>
      </w:r>
    </w:p>
    <w:p>
      <w:pPr>
        <w:spacing w:line="480" w:lineRule="exact"/>
        <w:jc w:val="center"/>
        <w:rPr>
          <w:rFonts w:hAnsi="宋体"/>
          <w:b/>
          <w:color w:val="auto"/>
          <w:sz w:val="44"/>
          <w:szCs w:val="44"/>
          <w:highlight w:val="none"/>
        </w:rPr>
      </w:pPr>
      <w:r>
        <w:rPr>
          <w:rFonts w:hint="eastAsia" w:hAnsi="宋体"/>
          <w:b/>
          <w:color w:val="auto"/>
          <w:sz w:val="44"/>
          <w:szCs w:val="44"/>
          <w:highlight w:val="none"/>
        </w:rPr>
        <w:t>项目保密承诺书</w:t>
      </w:r>
    </w:p>
    <w:p>
      <w:pPr>
        <w:spacing w:line="480" w:lineRule="exact"/>
        <w:jc w:val="center"/>
        <w:rPr>
          <w:rFonts w:hAnsi="宋体"/>
          <w:b/>
          <w:color w:val="auto"/>
          <w:sz w:val="44"/>
          <w:szCs w:val="44"/>
          <w:highlight w:val="none"/>
        </w:rPr>
      </w:pPr>
    </w:p>
    <w:p>
      <w:pPr>
        <w:spacing w:line="360" w:lineRule="auto"/>
        <w:ind w:firstLine="480" w:firstLineChars="200"/>
        <w:rPr>
          <w:rFonts w:hAnsi="宋体" w:cs="仿宋"/>
          <w:color w:val="auto"/>
          <w:szCs w:val="21"/>
          <w:highlight w:val="none"/>
        </w:rPr>
      </w:pPr>
      <w:r>
        <w:rPr>
          <w:rFonts w:hint="eastAsia" w:hAnsi="宋体" w:cs="仿宋"/>
          <w:color w:val="auto"/>
          <w:szCs w:val="21"/>
          <w:highlight w:val="none"/>
        </w:rPr>
        <w:t>为保证合作双方实现顺利合作，避免因信息泄露而给受服务企业造成损失，本单位以及本单位派驻本项目人员承诺遵守本保密承诺书内容。</w:t>
      </w:r>
    </w:p>
    <w:p>
      <w:pPr>
        <w:spacing w:line="360" w:lineRule="auto"/>
        <w:rPr>
          <w:b/>
          <w:color w:val="auto"/>
          <w:highlight w:val="none"/>
        </w:rPr>
      </w:pPr>
      <w:r>
        <w:rPr>
          <w:rFonts w:hint="eastAsia"/>
          <w:color w:val="auto"/>
          <w:highlight w:val="none"/>
        </w:rPr>
        <w:t>　</w:t>
      </w:r>
      <w:r>
        <w:rPr>
          <w:rFonts w:hint="eastAsia"/>
          <w:b/>
          <w:color w:val="auto"/>
          <w:highlight w:val="none"/>
        </w:rPr>
        <w:t>　1． 保密信息</w:t>
      </w:r>
    </w:p>
    <w:p>
      <w:pPr>
        <w:spacing w:line="360" w:lineRule="auto"/>
        <w:ind w:firstLine="420"/>
        <w:rPr>
          <w:rFonts w:hAnsi="宋体" w:cs="仿宋"/>
          <w:color w:val="auto"/>
          <w:szCs w:val="21"/>
          <w:highlight w:val="none"/>
        </w:rPr>
      </w:pPr>
      <w:r>
        <w:rPr>
          <w:rFonts w:hint="eastAsia" w:hAnsi="宋体" w:cs="仿宋"/>
          <w:color w:val="auto"/>
          <w:szCs w:val="21"/>
          <w:highlight w:val="none"/>
        </w:rPr>
        <w:t>本书所示保密信息为合作项目中涉及的以及该项目合作过程中获取的受服务企业或其关联公司尚未公开的信息。</w:t>
      </w:r>
    </w:p>
    <w:p>
      <w:pPr>
        <w:spacing w:line="360" w:lineRule="auto"/>
        <w:ind w:firstLine="360" w:firstLineChars="150"/>
        <w:rPr>
          <w:rFonts w:hAnsi="宋体" w:cs="仿宋"/>
          <w:color w:val="auto"/>
          <w:szCs w:val="21"/>
          <w:highlight w:val="none"/>
        </w:rPr>
      </w:pPr>
      <w:r>
        <w:rPr>
          <w:rFonts w:hint="eastAsia" w:hAnsi="宋体" w:cs="仿宋"/>
          <w:color w:val="auto"/>
          <w:szCs w:val="21"/>
          <w:highlight w:val="none"/>
        </w:rPr>
        <w:t>1.1</w:t>
      </w:r>
      <w:r>
        <w:rPr>
          <w:rFonts w:hint="eastAsia" w:hAnsi="宋体" w:cs="仿宋"/>
          <w:b/>
          <w:color w:val="auto"/>
          <w:szCs w:val="21"/>
          <w:highlight w:val="none"/>
        </w:rPr>
        <w:t>信息内容</w:t>
      </w:r>
      <w:r>
        <w:rPr>
          <w:rFonts w:hint="eastAsia" w:hAnsi="宋体" w:cs="仿宋"/>
          <w:color w:val="auto"/>
          <w:szCs w:val="21"/>
          <w:highlight w:val="none"/>
        </w:rPr>
        <w:t>包含符合法律规定条件的商业秘密，也包含尚未达到法律规定商业秘密构成条件的其他保密材料。包含但不限于：</w:t>
      </w:r>
    </w:p>
    <w:p>
      <w:pPr>
        <w:spacing w:line="360" w:lineRule="auto"/>
        <w:ind w:firstLine="420"/>
        <w:rPr>
          <w:rFonts w:hAnsi="宋体" w:cs="仿宋"/>
          <w:color w:val="auto"/>
          <w:szCs w:val="21"/>
          <w:highlight w:val="none"/>
        </w:rPr>
      </w:pPr>
      <w:r>
        <w:rPr>
          <w:rFonts w:hint="eastAsia" w:hAnsi="宋体" w:cs="仿宋"/>
          <w:color w:val="auto"/>
          <w:szCs w:val="21"/>
          <w:highlight w:val="none"/>
        </w:rPr>
        <w:t>a. 技术资料：技术方案、工程设计、技术报告、检测报告、勘察报告、实验数据、图纸规划方案、CAD数据资料、成本分析及投资测算等；</w:t>
      </w:r>
    </w:p>
    <w:p>
      <w:pPr>
        <w:spacing w:line="360" w:lineRule="auto"/>
        <w:ind w:firstLine="420"/>
        <w:rPr>
          <w:rFonts w:hAnsi="宋体" w:cs="仿宋"/>
          <w:color w:val="auto"/>
          <w:szCs w:val="21"/>
          <w:highlight w:val="none"/>
        </w:rPr>
      </w:pPr>
      <w:r>
        <w:rPr>
          <w:rFonts w:hint="eastAsia" w:hAnsi="宋体" w:cs="仿宋"/>
          <w:color w:val="auto"/>
          <w:szCs w:val="21"/>
          <w:highlight w:val="none"/>
        </w:rPr>
        <w:t>b. 商业信息：经营战略、经营方向、经营规划、企划方案、经营项目、项目方案及经营决策等；</w:t>
      </w:r>
    </w:p>
    <w:p>
      <w:pPr>
        <w:spacing w:line="360" w:lineRule="auto"/>
        <w:ind w:firstLine="420"/>
        <w:rPr>
          <w:rFonts w:hAnsi="宋体" w:cs="仿宋"/>
          <w:color w:val="auto"/>
          <w:szCs w:val="21"/>
          <w:highlight w:val="none"/>
        </w:rPr>
      </w:pPr>
      <w:r>
        <w:rPr>
          <w:rFonts w:hint="eastAsia" w:hAnsi="宋体" w:cs="仿宋"/>
          <w:color w:val="auto"/>
          <w:szCs w:val="21"/>
          <w:highlight w:val="none"/>
        </w:rPr>
        <w:t>c. 财务信息等。</w:t>
      </w:r>
    </w:p>
    <w:p>
      <w:pPr>
        <w:spacing w:line="360" w:lineRule="auto"/>
        <w:ind w:firstLine="480" w:firstLineChars="200"/>
        <w:rPr>
          <w:rFonts w:hAnsi="宋体" w:cs="仿宋"/>
          <w:color w:val="auto"/>
          <w:szCs w:val="21"/>
          <w:highlight w:val="none"/>
        </w:rPr>
      </w:pPr>
      <w:r>
        <w:rPr>
          <w:rFonts w:hint="eastAsia" w:hAnsi="宋体" w:cs="仿宋"/>
          <w:color w:val="auto"/>
          <w:szCs w:val="21"/>
          <w:highlight w:val="none"/>
        </w:rPr>
        <w:t xml:space="preserve">1.2 </w:t>
      </w:r>
      <w:r>
        <w:rPr>
          <w:rFonts w:hint="eastAsia" w:hAnsi="宋体" w:cs="仿宋"/>
          <w:b/>
          <w:color w:val="auto"/>
          <w:szCs w:val="21"/>
          <w:highlight w:val="none"/>
        </w:rPr>
        <w:t>信息储存方式</w:t>
      </w:r>
      <w:r>
        <w:rPr>
          <w:rFonts w:hint="eastAsia" w:hAnsi="宋体" w:cs="仿宋"/>
          <w:color w:val="auto"/>
          <w:szCs w:val="21"/>
          <w:highlight w:val="none"/>
        </w:rPr>
        <w:t>包含但不限于：</w:t>
      </w:r>
    </w:p>
    <w:p>
      <w:pPr>
        <w:spacing w:line="360" w:lineRule="auto"/>
        <w:ind w:firstLine="420"/>
        <w:rPr>
          <w:rFonts w:hAnsi="宋体" w:cs="仿宋"/>
          <w:color w:val="auto"/>
          <w:szCs w:val="21"/>
          <w:highlight w:val="none"/>
        </w:rPr>
      </w:pPr>
      <w:r>
        <w:rPr>
          <w:rFonts w:hint="eastAsia" w:hAnsi="宋体" w:cs="仿宋"/>
          <w:color w:val="auto"/>
          <w:szCs w:val="21"/>
          <w:highlight w:val="none"/>
        </w:rPr>
        <w:t>a. 以手写、打印、软件、磁盘、光盘、胶片或其它可存取的方式记载的财务、技术或商业信息；</w:t>
      </w:r>
    </w:p>
    <w:p>
      <w:pPr>
        <w:spacing w:line="360" w:lineRule="auto"/>
        <w:ind w:firstLine="420"/>
        <w:rPr>
          <w:rFonts w:hAnsi="宋体" w:cs="仿宋"/>
          <w:color w:val="auto"/>
          <w:szCs w:val="21"/>
          <w:highlight w:val="none"/>
        </w:rPr>
      </w:pPr>
      <w:r>
        <w:rPr>
          <w:rFonts w:hint="eastAsia" w:hAnsi="宋体" w:cs="仿宋"/>
          <w:color w:val="auto"/>
          <w:szCs w:val="21"/>
          <w:highlight w:val="none"/>
        </w:rPr>
        <w:t>b. 以口头方式说明需要保密的财务、技术或商业信息；</w:t>
      </w:r>
    </w:p>
    <w:p>
      <w:pPr>
        <w:spacing w:line="360" w:lineRule="auto"/>
        <w:ind w:firstLine="420"/>
        <w:rPr>
          <w:rFonts w:hAnsi="宋体" w:cs="仿宋"/>
          <w:color w:val="auto"/>
          <w:szCs w:val="21"/>
          <w:highlight w:val="none"/>
        </w:rPr>
      </w:pPr>
      <w:r>
        <w:rPr>
          <w:rFonts w:hint="eastAsia" w:hAnsi="宋体" w:cs="仿宋"/>
          <w:color w:val="auto"/>
          <w:szCs w:val="21"/>
          <w:highlight w:val="none"/>
        </w:rPr>
        <w:t>c. 以软件代码、文字图像、分析注释、备忘录、图纸、研究报告、编辑数据等各种方式出现的财务、技术或商业信息等。</w:t>
      </w:r>
    </w:p>
    <w:p>
      <w:pPr>
        <w:spacing w:line="360" w:lineRule="auto"/>
        <w:ind w:firstLine="480" w:firstLineChars="200"/>
        <w:rPr>
          <w:rFonts w:hAnsi="宋体" w:cs="仿宋"/>
          <w:color w:val="auto"/>
          <w:szCs w:val="21"/>
          <w:highlight w:val="none"/>
        </w:rPr>
      </w:pPr>
      <w:r>
        <w:rPr>
          <w:rFonts w:hint="eastAsia" w:hAnsi="宋体" w:cs="仿宋"/>
          <w:color w:val="auto"/>
          <w:szCs w:val="21"/>
          <w:highlight w:val="none"/>
        </w:rPr>
        <w:t xml:space="preserve">1.3 </w:t>
      </w:r>
      <w:r>
        <w:rPr>
          <w:rFonts w:hint="eastAsia" w:hAnsi="宋体" w:cs="仿宋"/>
          <w:b/>
          <w:color w:val="auto"/>
          <w:szCs w:val="21"/>
          <w:highlight w:val="none"/>
        </w:rPr>
        <w:t>信息范围</w:t>
      </w:r>
      <w:r>
        <w:rPr>
          <w:rFonts w:hint="eastAsia" w:hAnsi="宋体" w:cs="仿宋"/>
          <w:color w:val="auto"/>
          <w:szCs w:val="21"/>
          <w:highlight w:val="none"/>
        </w:rPr>
        <w:t>包含但不限于：</w:t>
      </w:r>
    </w:p>
    <w:p>
      <w:pPr>
        <w:spacing w:line="360" w:lineRule="auto"/>
        <w:ind w:firstLine="420"/>
        <w:rPr>
          <w:rFonts w:hAnsi="宋体" w:cs="仿宋"/>
          <w:color w:val="auto"/>
          <w:szCs w:val="21"/>
          <w:highlight w:val="none"/>
        </w:rPr>
      </w:pPr>
      <w:r>
        <w:rPr>
          <w:rFonts w:hint="eastAsia" w:hAnsi="宋体" w:cs="仿宋"/>
          <w:color w:val="auto"/>
          <w:szCs w:val="21"/>
          <w:highlight w:val="none"/>
        </w:rPr>
        <w:t>a. 信息包含双方在讨论合作过程中，包括但不限于在受服务企业处参观、考察的过程中以其它形式获得的财务、技术或商业信息；</w:t>
      </w:r>
    </w:p>
    <w:p>
      <w:pPr>
        <w:spacing w:line="360" w:lineRule="auto"/>
        <w:ind w:firstLine="420"/>
        <w:rPr>
          <w:rFonts w:hAnsi="宋体" w:cs="仿宋"/>
          <w:color w:val="auto"/>
          <w:szCs w:val="21"/>
          <w:highlight w:val="none"/>
        </w:rPr>
      </w:pPr>
      <w:r>
        <w:rPr>
          <w:rFonts w:hint="eastAsia" w:hAnsi="宋体" w:cs="仿宋"/>
          <w:color w:val="auto"/>
          <w:szCs w:val="21"/>
          <w:highlight w:val="none"/>
        </w:rPr>
        <w:t>b. 信息范围不仅包含本项目的各种文件、技术资料等，还包含在双方合作或会议讨论过程中获得的关于受服务企业或其关联公司的其他财务、技术或商业信息。</w:t>
      </w:r>
    </w:p>
    <w:p>
      <w:pPr>
        <w:spacing w:line="360" w:lineRule="auto"/>
        <w:rPr>
          <w:rFonts w:hAnsi="宋体" w:cs="仿宋"/>
          <w:b/>
          <w:color w:val="auto"/>
          <w:szCs w:val="21"/>
          <w:highlight w:val="none"/>
        </w:rPr>
      </w:pPr>
      <w:r>
        <w:rPr>
          <w:rFonts w:hint="eastAsia" w:hAnsi="宋体" w:cs="仿宋"/>
          <w:b/>
          <w:color w:val="auto"/>
          <w:szCs w:val="21"/>
          <w:highlight w:val="none"/>
        </w:rPr>
        <w:t>　　2. 保密义务</w:t>
      </w:r>
    </w:p>
    <w:p>
      <w:pPr>
        <w:spacing w:line="360" w:lineRule="auto"/>
        <w:ind w:firstLine="420"/>
        <w:rPr>
          <w:rFonts w:hAnsi="宋体" w:cs="仿宋"/>
          <w:color w:val="auto"/>
          <w:szCs w:val="21"/>
          <w:highlight w:val="none"/>
        </w:rPr>
      </w:pPr>
      <w:r>
        <w:rPr>
          <w:rFonts w:hint="eastAsia" w:hAnsi="宋体" w:cs="仿宋"/>
          <w:color w:val="auto"/>
          <w:szCs w:val="21"/>
          <w:highlight w:val="none"/>
        </w:rPr>
        <w:t>2.1 项目未发布公告之前，不能泄露与此项目相关的招标情况。</w:t>
      </w:r>
    </w:p>
    <w:p>
      <w:pPr>
        <w:spacing w:line="360" w:lineRule="auto"/>
        <w:ind w:firstLine="420"/>
        <w:rPr>
          <w:rFonts w:hAnsi="宋体" w:cs="仿宋"/>
          <w:color w:val="auto"/>
          <w:szCs w:val="21"/>
          <w:highlight w:val="none"/>
        </w:rPr>
      </w:pPr>
      <w:r>
        <w:rPr>
          <w:rFonts w:hint="eastAsia" w:hAnsi="宋体" w:cs="仿宋"/>
          <w:color w:val="auto"/>
          <w:szCs w:val="21"/>
          <w:highlight w:val="none"/>
        </w:rPr>
        <w:t>2.2 招标文件未出正式发布之前，不能泄露招标文件的具体内容。</w:t>
      </w:r>
    </w:p>
    <w:p>
      <w:pPr>
        <w:spacing w:line="360" w:lineRule="auto"/>
        <w:ind w:firstLine="420"/>
        <w:rPr>
          <w:rFonts w:hAnsi="宋体" w:cs="仿宋"/>
          <w:color w:val="auto"/>
          <w:szCs w:val="21"/>
          <w:highlight w:val="none"/>
        </w:rPr>
      </w:pPr>
      <w:r>
        <w:rPr>
          <w:rFonts w:hint="eastAsia" w:hAnsi="宋体" w:cs="仿宋"/>
          <w:color w:val="auto"/>
          <w:szCs w:val="21"/>
          <w:highlight w:val="none"/>
        </w:rPr>
        <w:t>2.3 在参与受服务企业会议讨论阶段，不能向外透露会议的信息内容。</w:t>
      </w:r>
    </w:p>
    <w:p>
      <w:pPr>
        <w:spacing w:line="360" w:lineRule="auto"/>
        <w:ind w:firstLine="420"/>
        <w:rPr>
          <w:rFonts w:hAnsi="宋体" w:cs="仿宋"/>
          <w:color w:val="auto"/>
          <w:szCs w:val="21"/>
          <w:highlight w:val="none"/>
        </w:rPr>
      </w:pPr>
      <w:r>
        <w:rPr>
          <w:rFonts w:hint="eastAsia" w:hAnsi="宋体" w:cs="仿宋"/>
          <w:color w:val="auto"/>
          <w:szCs w:val="21"/>
          <w:highlight w:val="none"/>
        </w:rPr>
        <w:t>2.4 向项目报名人提供项目必须配套资料时，必须要求报名人不能对外泄露项目资料与项目相关信息，否则追究报名人法律责任。</w:t>
      </w:r>
    </w:p>
    <w:p>
      <w:pPr>
        <w:spacing w:line="360" w:lineRule="auto"/>
        <w:ind w:firstLine="480" w:firstLineChars="200"/>
        <w:rPr>
          <w:rFonts w:hAnsi="宋体" w:cs="仿宋"/>
          <w:color w:val="auto"/>
          <w:szCs w:val="21"/>
          <w:highlight w:val="none"/>
        </w:rPr>
      </w:pPr>
      <w:r>
        <w:rPr>
          <w:rFonts w:hint="eastAsia" w:hAnsi="宋体" w:cs="仿宋"/>
          <w:color w:val="auto"/>
          <w:szCs w:val="21"/>
          <w:highlight w:val="none"/>
        </w:rPr>
        <w:t>2.5项目发布前后，始终对保密资料保密，不在项目之外使用对方提供的保密信息及掌握的公司保密信息。</w:t>
      </w:r>
    </w:p>
    <w:p>
      <w:pPr>
        <w:spacing w:line="360" w:lineRule="auto"/>
        <w:ind w:firstLine="420"/>
        <w:rPr>
          <w:rFonts w:hAnsi="宋体" w:cs="仿宋"/>
          <w:color w:val="auto"/>
          <w:szCs w:val="21"/>
          <w:highlight w:val="none"/>
        </w:rPr>
      </w:pPr>
      <w:r>
        <w:rPr>
          <w:rFonts w:hint="eastAsia" w:hAnsi="宋体" w:cs="仿宋"/>
          <w:color w:val="auto"/>
          <w:szCs w:val="21"/>
          <w:highlight w:val="none"/>
        </w:rPr>
        <w:t>2.6未经受服务企业同意，不向任何第三方提供保密信息以及可以接触上述保密信息的手段，包括在公开场合展览，公开对外宣传，作为文章、讯息、参考数据发表。</w:t>
      </w:r>
    </w:p>
    <w:p>
      <w:pPr>
        <w:spacing w:line="360" w:lineRule="auto"/>
        <w:rPr>
          <w:rFonts w:hAnsi="宋体" w:cs="仿宋"/>
          <w:b/>
          <w:color w:val="auto"/>
          <w:szCs w:val="21"/>
          <w:highlight w:val="none"/>
        </w:rPr>
      </w:pPr>
      <w:r>
        <w:rPr>
          <w:rFonts w:hint="eastAsia" w:hAnsi="宋体" w:cs="仿宋"/>
          <w:b/>
          <w:color w:val="auto"/>
          <w:szCs w:val="21"/>
          <w:highlight w:val="none"/>
        </w:rPr>
        <w:t>3. 返还信息</w:t>
      </w:r>
    </w:p>
    <w:p>
      <w:pPr>
        <w:spacing w:line="360" w:lineRule="auto"/>
        <w:ind w:firstLine="420"/>
        <w:rPr>
          <w:rFonts w:hAnsi="宋体" w:cs="仿宋"/>
          <w:color w:val="auto"/>
          <w:szCs w:val="21"/>
          <w:highlight w:val="none"/>
        </w:rPr>
      </w:pPr>
      <w:r>
        <w:rPr>
          <w:rFonts w:hint="eastAsia" w:hAnsi="宋体" w:cs="仿宋"/>
          <w:color w:val="auto"/>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pPr>
        <w:spacing w:line="360" w:lineRule="auto"/>
        <w:rPr>
          <w:rFonts w:hAnsi="宋体" w:cs="仿宋"/>
          <w:b/>
          <w:color w:val="auto"/>
          <w:szCs w:val="21"/>
          <w:highlight w:val="none"/>
        </w:rPr>
      </w:pPr>
      <w:r>
        <w:rPr>
          <w:rFonts w:hint="eastAsia" w:hAnsi="宋体" w:cs="仿宋"/>
          <w:b/>
          <w:color w:val="auto"/>
          <w:szCs w:val="21"/>
          <w:highlight w:val="none"/>
        </w:rPr>
        <w:t>4．保密期限</w:t>
      </w:r>
    </w:p>
    <w:p>
      <w:pPr>
        <w:spacing w:line="360" w:lineRule="auto"/>
        <w:ind w:firstLine="420"/>
        <w:rPr>
          <w:rFonts w:hAnsi="宋体" w:cs="仿宋"/>
          <w:color w:val="auto"/>
          <w:szCs w:val="21"/>
          <w:highlight w:val="none"/>
        </w:rPr>
      </w:pPr>
      <w:r>
        <w:rPr>
          <w:rFonts w:hint="eastAsia" w:hAnsi="宋体" w:cs="仿宋"/>
          <w:color w:val="auto"/>
          <w:szCs w:val="21"/>
          <w:highlight w:val="none"/>
        </w:rPr>
        <w:t>本承诺书的保密期限，从签订起生效，无限期保密，直至受服务企业宣布解密或所获得的信息已经通过合法的方式为公众所知悉为止。</w:t>
      </w:r>
    </w:p>
    <w:p>
      <w:pPr>
        <w:spacing w:line="360" w:lineRule="auto"/>
        <w:rPr>
          <w:rFonts w:hAnsi="宋体" w:cs="仿宋"/>
          <w:b/>
          <w:color w:val="auto"/>
          <w:szCs w:val="21"/>
          <w:highlight w:val="none"/>
        </w:rPr>
      </w:pPr>
      <w:r>
        <w:rPr>
          <w:rFonts w:hint="eastAsia" w:hAnsi="宋体" w:cs="仿宋"/>
          <w:b/>
          <w:color w:val="auto"/>
          <w:szCs w:val="21"/>
          <w:highlight w:val="none"/>
        </w:rPr>
        <w:t xml:space="preserve">    5、其他责任</w:t>
      </w:r>
    </w:p>
    <w:p>
      <w:pPr>
        <w:spacing w:line="360" w:lineRule="auto"/>
        <w:ind w:firstLine="480" w:firstLineChars="200"/>
        <w:rPr>
          <w:rFonts w:hAnsi="宋体" w:cs="仿宋"/>
          <w:color w:val="auto"/>
          <w:szCs w:val="21"/>
          <w:highlight w:val="none"/>
        </w:rPr>
      </w:pPr>
      <w:r>
        <w:rPr>
          <w:rFonts w:hint="eastAsia" w:hAnsi="宋体" w:cs="仿宋"/>
          <w:color w:val="auto"/>
          <w:szCs w:val="21"/>
          <w:highlight w:val="none"/>
        </w:rPr>
        <w:t>保密期限内，因承诺人的泄密行为给受服务企业造成影响的，受服务企业有权按照法律法规的规定追究承诺人违约、侵权及刑事责任。</w:t>
      </w:r>
    </w:p>
    <w:p>
      <w:pPr>
        <w:spacing w:line="360" w:lineRule="auto"/>
        <w:rPr>
          <w:rFonts w:hAnsi="宋体" w:cs="仿宋"/>
          <w:color w:val="auto"/>
          <w:szCs w:val="21"/>
          <w:highlight w:val="none"/>
        </w:rPr>
      </w:pPr>
      <w:r>
        <w:rPr>
          <w:rFonts w:hint="eastAsia" w:hAnsi="宋体" w:cs="仿宋"/>
          <w:color w:val="auto"/>
          <w:szCs w:val="21"/>
          <w:highlight w:val="none"/>
        </w:rPr>
        <w:t xml:space="preserve">   </w:t>
      </w:r>
    </w:p>
    <w:p>
      <w:pPr>
        <w:spacing w:line="360" w:lineRule="auto"/>
        <w:rPr>
          <w:rFonts w:hAnsi="宋体" w:cs="仿宋"/>
          <w:color w:val="auto"/>
          <w:szCs w:val="21"/>
          <w:highlight w:val="none"/>
        </w:rPr>
      </w:pPr>
      <w:r>
        <w:rPr>
          <w:rFonts w:hint="eastAsia" w:hAnsi="宋体" w:cs="仿宋"/>
          <w:color w:val="auto"/>
          <w:szCs w:val="21"/>
          <w:highlight w:val="none"/>
        </w:rPr>
        <w:t xml:space="preserve">   本企业单位或本人已阅读，并理解和同意遵守本承诺书所有条款，如违反承诺，自愿承担党纪、政纪责任和法律后果。</w:t>
      </w:r>
    </w:p>
    <w:p>
      <w:pPr>
        <w:spacing w:line="360" w:lineRule="auto"/>
        <w:rPr>
          <w:rFonts w:hAnsi="宋体" w:cs="仿宋"/>
          <w:color w:val="auto"/>
          <w:szCs w:val="21"/>
          <w:highlight w:val="none"/>
        </w:rPr>
      </w:pPr>
    </w:p>
    <w:p>
      <w:pPr>
        <w:spacing w:line="360" w:lineRule="auto"/>
        <w:ind w:firstLine="3600" w:firstLineChars="1500"/>
        <w:rPr>
          <w:rFonts w:hAnsi="宋体" w:cs="仿宋"/>
          <w:color w:val="auto"/>
          <w:szCs w:val="21"/>
          <w:highlight w:val="none"/>
        </w:rPr>
      </w:pPr>
    </w:p>
    <w:p>
      <w:pPr>
        <w:spacing w:line="360" w:lineRule="auto"/>
        <w:ind w:firstLine="4440" w:firstLineChars="1850"/>
        <w:rPr>
          <w:rFonts w:hAnsi="宋体" w:cs="仿宋"/>
          <w:color w:val="auto"/>
          <w:szCs w:val="21"/>
          <w:highlight w:val="none"/>
        </w:rPr>
      </w:pPr>
      <w:r>
        <w:rPr>
          <w:rFonts w:hint="eastAsia" w:hAnsi="宋体" w:cs="仿宋"/>
          <w:color w:val="auto"/>
          <w:szCs w:val="21"/>
          <w:highlight w:val="none"/>
        </w:rPr>
        <w:t>承诺单位:（盖章）</w:t>
      </w:r>
    </w:p>
    <w:p>
      <w:pPr>
        <w:spacing w:line="360" w:lineRule="auto"/>
        <w:ind w:firstLine="4440" w:firstLineChars="1850"/>
        <w:rPr>
          <w:rFonts w:hAnsi="宋体" w:cs="仿宋"/>
          <w:color w:val="auto"/>
          <w:szCs w:val="21"/>
          <w:highlight w:val="none"/>
        </w:rPr>
      </w:pPr>
      <w:r>
        <w:rPr>
          <w:rFonts w:hint="eastAsia" w:hAnsi="宋体" w:cs="仿宋"/>
          <w:color w:val="auto"/>
          <w:szCs w:val="21"/>
          <w:highlight w:val="none"/>
        </w:rPr>
        <w:t>法人代表:（签名）</w:t>
      </w:r>
    </w:p>
    <w:p>
      <w:pPr>
        <w:spacing w:line="360" w:lineRule="auto"/>
        <w:ind w:firstLine="4440" w:firstLineChars="1850"/>
        <w:rPr>
          <w:rFonts w:hAnsi="宋体" w:cs="仿宋"/>
          <w:color w:val="auto"/>
          <w:szCs w:val="21"/>
          <w:highlight w:val="none"/>
        </w:rPr>
      </w:pPr>
      <w:r>
        <w:rPr>
          <w:rFonts w:hint="eastAsia" w:hAnsi="宋体" w:cs="仿宋"/>
          <w:color w:val="auto"/>
          <w:szCs w:val="21"/>
          <w:highlight w:val="none"/>
        </w:rPr>
        <w:t>单位拟派人员：（签名）</w:t>
      </w:r>
    </w:p>
    <w:p>
      <w:pPr>
        <w:spacing w:line="360" w:lineRule="auto"/>
        <w:ind w:firstLine="5160" w:firstLineChars="2150"/>
        <w:rPr>
          <w:rFonts w:hAnsi="宋体" w:cs="仿宋"/>
          <w:color w:val="auto"/>
          <w:szCs w:val="21"/>
          <w:highlight w:val="none"/>
        </w:rPr>
      </w:pPr>
      <w:r>
        <w:rPr>
          <w:rFonts w:hint="eastAsia" w:hAnsi="宋体" w:cs="仿宋"/>
          <w:color w:val="auto"/>
          <w:szCs w:val="21"/>
          <w:highlight w:val="none"/>
        </w:rPr>
        <w:t xml:space="preserve">年  月  日  </w:t>
      </w:r>
    </w:p>
    <w:p>
      <w:pPr>
        <w:spacing w:before="120" w:beforeLines="50" w:after="120" w:afterLines="50" w:line="360" w:lineRule="auto"/>
        <w:ind w:right="26" w:firstLine="360" w:firstLineChars="150"/>
        <w:contextualSpacing/>
        <w:rPr>
          <w:rFonts w:hAnsi="宋体"/>
          <w:color w:val="auto"/>
          <w:szCs w:val="21"/>
          <w:highlight w:val="none"/>
        </w:rPr>
      </w:pPr>
    </w:p>
    <w:p>
      <w:pPr>
        <w:spacing w:after="62" w:line="480" w:lineRule="exact"/>
        <w:rPr>
          <w:rFonts w:hAnsi="宋体"/>
          <w:color w:val="auto"/>
          <w:szCs w:val="21"/>
          <w:highlight w:val="none"/>
        </w:rPr>
      </w:pPr>
    </w:p>
    <w:p>
      <w:pPr>
        <w:spacing w:line="440" w:lineRule="exact"/>
        <w:rPr>
          <w:rFonts w:hAnsi="宋体"/>
          <w:b/>
          <w:bCs/>
          <w:color w:val="auto"/>
          <w:szCs w:val="21"/>
          <w:highlight w:val="none"/>
        </w:rPr>
      </w:pPr>
      <w:r>
        <w:rPr>
          <w:rFonts w:hAnsi="宋体"/>
          <w:color w:val="auto"/>
          <w:szCs w:val="21"/>
          <w:highlight w:val="none"/>
        </w:rPr>
        <w:br w:type="page"/>
      </w:r>
      <w:r>
        <w:rPr>
          <w:rFonts w:hint="eastAsia" w:hAnsi="宋体"/>
          <w:b/>
          <w:color w:val="auto"/>
          <w:szCs w:val="21"/>
          <w:highlight w:val="none"/>
        </w:rPr>
        <w:t>附件3</w:t>
      </w:r>
      <w:r>
        <w:rPr>
          <w:rFonts w:hAnsi="宋体"/>
          <w:b/>
          <w:color w:val="auto"/>
          <w:szCs w:val="21"/>
          <w:highlight w:val="none"/>
        </w:rPr>
        <w:t>：</w:t>
      </w:r>
      <w:r>
        <w:rPr>
          <w:rFonts w:hint="eastAsia" w:hAnsi="宋体"/>
          <w:b/>
          <w:bCs/>
          <w:color w:val="auto"/>
          <w:szCs w:val="21"/>
          <w:highlight w:val="none"/>
        </w:rPr>
        <w:t>投入本合同下项目服务人员配置一览表</w:t>
      </w:r>
    </w:p>
    <w:p>
      <w:pPr>
        <w:spacing w:line="440" w:lineRule="exact"/>
        <w:rPr>
          <w:color w:val="auto"/>
          <w:highlight w:val="none"/>
        </w:rPr>
      </w:pPr>
    </w:p>
    <w:tbl>
      <w:tblPr>
        <w:tblStyle w:val="49"/>
        <w:tblW w:w="8851" w:type="dxa"/>
        <w:tblInd w:w="93" w:type="dxa"/>
        <w:tblLayout w:type="fixed"/>
        <w:tblCellMar>
          <w:top w:w="0" w:type="dxa"/>
          <w:left w:w="108" w:type="dxa"/>
          <w:bottom w:w="0" w:type="dxa"/>
          <w:right w:w="108" w:type="dxa"/>
        </w:tblCellMar>
      </w:tblPr>
      <w:tblGrid>
        <w:gridCol w:w="532"/>
        <w:gridCol w:w="1064"/>
        <w:gridCol w:w="1479"/>
        <w:gridCol w:w="909"/>
        <w:gridCol w:w="1071"/>
        <w:gridCol w:w="1440"/>
        <w:gridCol w:w="1080"/>
        <w:gridCol w:w="1276"/>
      </w:tblGrid>
      <w:tr>
        <w:tblPrEx>
          <w:tblCellMar>
            <w:top w:w="0" w:type="dxa"/>
            <w:left w:w="108" w:type="dxa"/>
            <w:bottom w:w="0" w:type="dxa"/>
            <w:right w:w="108" w:type="dxa"/>
          </w:tblCellMar>
        </w:tblPrEx>
        <w:trPr>
          <w:trHeight w:val="525" w:hRule="atLeast"/>
        </w:trPr>
        <w:tc>
          <w:tcPr>
            <w:tcW w:w="3984" w:type="dxa"/>
            <w:gridSpan w:val="4"/>
            <w:tcBorders>
              <w:top w:val="nil"/>
              <w:left w:val="nil"/>
              <w:bottom w:val="single" w:color="auto" w:sz="4" w:space="0"/>
              <w:right w:val="nil"/>
            </w:tcBorders>
            <w:noWrap w:val="0"/>
            <w:vAlign w:val="center"/>
          </w:tcPr>
          <w:p>
            <w:pPr>
              <w:widowControl/>
              <w:spacing w:line="360" w:lineRule="auto"/>
              <w:rPr>
                <w:rFonts w:hAnsi="宋体" w:cs="宋体"/>
                <w:color w:val="auto"/>
                <w:szCs w:val="21"/>
                <w:highlight w:val="none"/>
              </w:rPr>
            </w:pPr>
            <w:r>
              <w:rPr>
                <w:rFonts w:hint="eastAsia" w:hAnsi="宋体" w:cs="宋体"/>
                <w:color w:val="auto"/>
                <w:szCs w:val="21"/>
                <w:highlight w:val="none"/>
              </w:rPr>
              <w:t>单位盖章</w:t>
            </w:r>
            <w:r>
              <w:rPr>
                <w:rFonts w:hAnsi="宋体" w:cs="宋体"/>
                <w:color w:val="auto"/>
                <w:szCs w:val="21"/>
                <w:highlight w:val="none"/>
              </w:rPr>
              <w:t>(                )</w:t>
            </w:r>
          </w:p>
        </w:tc>
        <w:tc>
          <w:tcPr>
            <w:tcW w:w="1071" w:type="dxa"/>
            <w:tcBorders>
              <w:top w:val="nil"/>
              <w:left w:val="nil"/>
              <w:bottom w:val="single" w:color="auto" w:sz="4" w:space="0"/>
              <w:right w:val="nil"/>
            </w:tcBorders>
            <w:noWrap w:val="0"/>
            <w:vAlign w:val="center"/>
          </w:tcPr>
          <w:p>
            <w:pPr>
              <w:widowControl/>
              <w:spacing w:line="360" w:lineRule="auto"/>
              <w:jc w:val="center"/>
              <w:rPr>
                <w:rFonts w:hAnsi="宋体" w:cs="宋体"/>
                <w:b/>
                <w:bCs/>
                <w:color w:val="auto"/>
                <w:szCs w:val="21"/>
                <w:highlight w:val="none"/>
                <w:u w:val="single"/>
              </w:rPr>
            </w:pPr>
          </w:p>
        </w:tc>
        <w:tc>
          <w:tcPr>
            <w:tcW w:w="1440" w:type="dxa"/>
            <w:tcBorders>
              <w:top w:val="nil"/>
              <w:left w:val="nil"/>
              <w:bottom w:val="single" w:color="auto" w:sz="4" w:space="0"/>
              <w:right w:val="nil"/>
            </w:tcBorders>
            <w:noWrap w:val="0"/>
            <w:vAlign w:val="center"/>
          </w:tcPr>
          <w:p>
            <w:pPr>
              <w:widowControl/>
              <w:spacing w:line="360" w:lineRule="auto"/>
              <w:jc w:val="center"/>
              <w:rPr>
                <w:rFonts w:hAnsi="宋体" w:cs="宋体"/>
                <w:b/>
                <w:bCs/>
                <w:color w:val="auto"/>
                <w:szCs w:val="21"/>
                <w:highlight w:val="none"/>
                <w:u w:val="single"/>
              </w:rPr>
            </w:pPr>
          </w:p>
        </w:tc>
        <w:tc>
          <w:tcPr>
            <w:tcW w:w="1080" w:type="dxa"/>
            <w:tcBorders>
              <w:top w:val="nil"/>
              <w:left w:val="nil"/>
              <w:bottom w:val="single" w:color="auto" w:sz="4" w:space="0"/>
              <w:right w:val="nil"/>
            </w:tcBorders>
            <w:noWrap w:val="0"/>
            <w:vAlign w:val="center"/>
          </w:tcPr>
          <w:p>
            <w:pPr>
              <w:widowControl/>
              <w:spacing w:line="360" w:lineRule="auto"/>
              <w:jc w:val="center"/>
              <w:rPr>
                <w:rFonts w:hAnsi="宋体" w:cs="宋体"/>
                <w:b/>
                <w:bCs/>
                <w:color w:val="auto"/>
                <w:szCs w:val="21"/>
                <w:highlight w:val="none"/>
                <w:u w:val="single"/>
              </w:rPr>
            </w:pPr>
          </w:p>
        </w:tc>
        <w:tc>
          <w:tcPr>
            <w:tcW w:w="1276" w:type="dxa"/>
            <w:tcBorders>
              <w:top w:val="nil"/>
              <w:left w:val="nil"/>
              <w:bottom w:val="single" w:color="auto" w:sz="4" w:space="0"/>
              <w:right w:val="nil"/>
            </w:tcBorders>
            <w:noWrap w:val="0"/>
            <w:vAlign w:val="center"/>
          </w:tcPr>
          <w:p>
            <w:pPr>
              <w:widowControl/>
              <w:spacing w:line="360" w:lineRule="auto"/>
              <w:jc w:val="center"/>
              <w:rPr>
                <w:rFonts w:hAnsi="宋体" w:cs="宋体"/>
                <w:b/>
                <w:bCs/>
                <w:color w:val="auto"/>
                <w:szCs w:val="21"/>
                <w:highlight w:val="none"/>
                <w:u w:val="single"/>
              </w:rPr>
            </w:pPr>
          </w:p>
        </w:tc>
      </w:tr>
      <w:tr>
        <w:tblPrEx>
          <w:tblCellMar>
            <w:top w:w="0" w:type="dxa"/>
            <w:left w:w="108" w:type="dxa"/>
            <w:bottom w:w="0" w:type="dxa"/>
            <w:right w:w="108" w:type="dxa"/>
          </w:tblCellMar>
        </w:tblPrEx>
        <w:trPr>
          <w:trHeight w:val="645" w:hRule="atLeast"/>
        </w:trPr>
        <w:tc>
          <w:tcPr>
            <w:tcW w:w="532"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序号</w:t>
            </w:r>
          </w:p>
        </w:tc>
        <w:tc>
          <w:tcPr>
            <w:tcW w:w="1064" w:type="dxa"/>
            <w:tcBorders>
              <w:top w:val="nil"/>
              <w:left w:val="nil"/>
              <w:bottom w:val="nil"/>
              <w:right w:val="single" w:color="000000"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专业人员</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姓名</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年龄</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职称或资格</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执业资格注册编号</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专业</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联系电话（手机）</w:t>
            </w:r>
          </w:p>
        </w:tc>
      </w:tr>
      <w:tr>
        <w:tblPrEx>
          <w:tblCellMar>
            <w:top w:w="0" w:type="dxa"/>
            <w:left w:w="108" w:type="dxa"/>
            <w:bottom w:w="0" w:type="dxa"/>
            <w:right w:w="108" w:type="dxa"/>
          </w:tblCellMar>
        </w:tblPrEx>
        <w:trPr>
          <w:trHeight w:val="601" w:hRule="atLeast"/>
        </w:trPr>
        <w:tc>
          <w:tcPr>
            <w:tcW w:w="532" w:type="dxa"/>
            <w:tcBorders>
              <w:top w:val="nil"/>
              <w:left w:val="single" w:color="auto" w:sz="4" w:space="0"/>
              <w:bottom w:val="nil"/>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一</w:t>
            </w:r>
          </w:p>
        </w:tc>
        <w:tc>
          <w:tcPr>
            <w:tcW w:w="1064" w:type="dxa"/>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项目负责人</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after="120" w:line="360" w:lineRule="auto"/>
              <w:ind w:firstLine="240" w:firstLineChars="100"/>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after="120" w:line="360" w:lineRule="auto"/>
              <w:ind w:firstLine="240" w:firstLineChars="100"/>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75" w:hRule="atLeast"/>
        </w:trPr>
        <w:tc>
          <w:tcPr>
            <w:tcW w:w="532" w:type="dxa"/>
            <w:vMerge w:val="restart"/>
            <w:tcBorders>
              <w:top w:val="single" w:color="auto" w:sz="4" w:space="0"/>
              <w:left w:val="single" w:color="auto" w:sz="4" w:space="0"/>
              <w:bottom w:val="nil"/>
              <w:right w:val="single" w:color="auto" w:sz="4" w:space="0"/>
            </w:tcBorders>
            <w:noWrap w:val="0"/>
            <w:vAlign w:val="center"/>
          </w:tcPr>
          <w:p>
            <w:pPr>
              <w:widowControl/>
              <w:spacing w:after="120" w:line="360" w:lineRule="auto"/>
              <w:ind w:firstLine="240" w:firstLineChars="100"/>
              <w:jc w:val="center"/>
              <w:rPr>
                <w:rFonts w:hAnsi="宋体" w:cs="宋体"/>
                <w:color w:val="auto"/>
                <w:szCs w:val="21"/>
                <w:highlight w:val="none"/>
              </w:rPr>
            </w:pPr>
            <w:r>
              <w:rPr>
                <w:rFonts w:hint="eastAsia" w:hAnsi="宋体" w:cs="宋体"/>
                <w:color w:val="auto"/>
                <w:szCs w:val="21"/>
                <w:highlight w:val="none"/>
              </w:rPr>
              <w:t>二</w:t>
            </w:r>
          </w:p>
        </w:tc>
        <w:tc>
          <w:tcPr>
            <w:tcW w:w="1064" w:type="dxa"/>
            <w:vMerge w:val="restart"/>
            <w:tcBorders>
              <w:top w:val="nil"/>
              <w:left w:val="single" w:color="auto" w:sz="4" w:space="0"/>
              <w:bottom w:val="single" w:color="000000" w:sz="4" w:space="0"/>
              <w:right w:val="single" w:color="auto" w:sz="4" w:space="0"/>
            </w:tcBorders>
            <w:noWrap w:val="0"/>
            <w:vAlign w:val="center"/>
          </w:tcPr>
          <w:p>
            <w:pPr>
              <w:widowControl/>
              <w:spacing w:after="120" w:line="360" w:lineRule="auto"/>
              <w:rPr>
                <w:rFonts w:hAnsi="宋体" w:cs="宋体"/>
                <w:color w:val="auto"/>
                <w:szCs w:val="21"/>
                <w:highlight w:val="none"/>
              </w:rPr>
            </w:pPr>
            <w:r>
              <w:rPr>
                <w:rFonts w:hint="eastAsia" w:hAnsi="宋体" w:cs="宋体"/>
                <w:color w:val="auto"/>
                <w:szCs w:val="21"/>
                <w:highlight w:val="none"/>
              </w:rPr>
              <w:t>专业造价工程师</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75" w:hRule="atLeast"/>
        </w:trPr>
        <w:tc>
          <w:tcPr>
            <w:tcW w:w="532"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nil"/>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05" w:hRule="atLeast"/>
        </w:trPr>
        <w:tc>
          <w:tcPr>
            <w:tcW w:w="53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三</w:t>
            </w:r>
          </w:p>
        </w:tc>
        <w:tc>
          <w:tcPr>
            <w:tcW w:w="1064"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预、结算人员</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0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285" w:hRule="atLeast"/>
        </w:trPr>
        <w:tc>
          <w:tcPr>
            <w:tcW w:w="53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20" w:hRule="atLeast"/>
        </w:trPr>
        <w:tc>
          <w:tcPr>
            <w:tcW w:w="53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四</w:t>
            </w:r>
          </w:p>
        </w:tc>
        <w:tc>
          <w:tcPr>
            <w:tcW w:w="1064"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校核人员</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420"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90" w:hRule="atLeast"/>
        </w:trPr>
        <w:tc>
          <w:tcPr>
            <w:tcW w:w="53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五</w:t>
            </w:r>
          </w:p>
        </w:tc>
        <w:tc>
          <w:tcPr>
            <w:tcW w:w="1064"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审核人员</w:t>
            </w: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390"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cantSplit/>
          <w:trHeight w:val="285" w:hRule="atLeast"/>
        </w:trPr>
        <w:tc>
          <w:tcPr>
            <w:tcW w:w="53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064"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auto"/>
              <w:rPr>
                <w:rFonts w:hAnsi="宋体" w:cs="宋体"/>
                <w:color w:val="auto"/>
                <w:szCs w:val="21"/>
                <w:highlight w:val="none"/>
              </w:rPr>
            </w:pPr>
          </w:p>
        </w:tc>
        <w:tc>
          <w:tcPr>
            <w:tcW w:w="147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909"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71"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44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080"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c>
          <w:tcPr>
            <w:tcW w:w="1276"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trHeight w:val="765" w:hRule="atLeast"/>
        </w:trPr>
        <w:tc>
          <w:tcPr>
            <w:tcW w:w="532"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六</w:t>
            </w:r>
          </w:p>
        </w:tc>
        <w:tc>
          <w:tcPr>
            <w:tcW w:w="1064" w:type="dxa"/>
            <w:tcBorders>
              <w:top w:val="nil"/>
              <w:left w:val="nil"/>
              <w:bottom w:val="single" w:color="auto" w:sz="4" w:space="0"/>
              <w:right w:val="single" w:color="auto"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其它</w:t>
            </w:r>
          </w:p>
        </w:tc>
        <w:tc>
          <w:tcPr>
            <w:tcW w:w="7255" w:type="dxa"/>
            <w:gridSpan w:val="6"/>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Ansi="宋体" w:cs="宋体"/>
                <w:color w:val="auto"/>
                <w:szCs w:val="21"/>
                <w:highlight w:val="none"/>
              </w:rPr>
            </w:pPr>
            <w:r>
              <w:rPr>
                <w:rFonts w:hint="eastAsia" w:hAnsi="宋体" w:cs="宋体"/>
                <w:color w:val="auto"/>
                <w:szCs w:val="21"/>
                <w:highlight w:val="none"/>
              </w:rPr>
              <w:t>　</w:t>
            </w:r>
          </w:p>
        </w:tc>
      </w:tr>
      <w:tr>
        <w:tblPrEx>
          <w:tblCellMar>
            <w:top w:w="0" w:type="dxa"/>
            <w:left w:w="108" w:type="dxa"/>
            <w:bottom w:w="0" w:type="dxa"/>
            <w:right w:w="108" w:type="dxa"/>
          </w:tblCellMar>
        </w:tblPrEx>
        <w:trPr>
          <w:trHeight w:val="375" w:hRule="atLeast"/>
        </w:trPr>
        <w:tc>
          <w:tcPr>
            <w:tcW w:w="8851" w:type="dxa"/>
            <w:gridSpan w:val="8"/>
            <w:noWrap w:val="0"/>
            <w:vAlign w:val="center"/>
          </w:tcPr>
          <w:p>
            <w:pPr>
              <w:widowControl/>
              <w:spacing w:line="360" w:lineRule="auto"/>
              <w:rPr>
                <w:rFonts w:hAnsi="宋体" w:cs="宋体"/>
                <w:color w:val="auto"/>
                <w:szCs w:val="21"/>
                <w:highlight w:val="none"/>
              </w:rPr>
            </w:pPr>
            <w:r>
              <w:rPr>
                <w:rFonts w:hint="eastAsia" w:hAnsi="宋体" w:cs="宋体"/>
                <w:color w:val="auto"/>
                <w:szCs w:val="21"/>
                <w:highlight w:val="none"/>
              </w:rPr>
              <w:t>技术总负责人：</w:t>
            </w:r>
            <w:r>
              <w:rPr>
                <w:rFonts w:hAnsi="宋体" w:cs="宋体"/>
                <w:color w:val="auto"/>
                <w:szCs w:val="21"/>
                <w:highlight w:val="none"/>
              </w:rPr>
              <w:t xml:space="preserve">                        </w:t>
            </w:r>
            <w:r>
              <w:rPr>
                <w:rFonts w:hint="eastAsia" w:hAnsi="宋体" w:cs="宋体"/>
                <w:color w:val="auto"/>
                <w:szCs w:val="21"/>
                <w:highlight w:val="none"/>
              </w:rPr>
              <w:t>单位法定代表人：</w:t>
            </w:r>
          </w:p>
        </w:tc>
      </w:tr>
    </w:tbl>
    <w:p>
      <w:pPr>
        <w:spacing w:line="440" w:lineRule="exact"/>
        <w:rPr>
          <w:color w:val="auto"/>
          <w:highlight w:val="none"/>
        </w:rPr>
        <w:sectPr>
          <w:footerReference r:id="rId8" w:type="default"/>
          <w:pgSz w:w="11907" w:h="16840"/>
          <w:pgMar w:top="1247" w:right="1191" w:bottom="1247" w:left="1191" w:header="851" w:footer="992" w:gutter="0"/>
          <w:cols w:space="720" w:num="1"/>
          <w:docGrid w:linePitch="312" w:charSpace="0"/>
        </w:sectPr>
      </w:pPr>
    </w:p>
    <w:p>
      <w:pPr>
        <w:spacing w:line="360" w:lineRule="auto"/>
        <w:rPr>
          <w:rFonts w:hAnsi="宋体"/>
          <w:b/>
          <w:color w:val="auto"/>
          <w:szCs w:val="21"/>
          <w:highlight w:val="none"/>
        </w:rPr>
      </w:pPr>
      <w:r>
        <w:rPr>
          <w:color w:val="auto"/>
          <w:highlight w:val="none"/>
        </w:rPr>
        <w:t xml:space="preserve"> </w:t>
      </w:r>
      <w:r>
        <w:rPr>
          <w:rFonts w:hint="eastAsia" w:hAnsi="宋体"/>
          <w:b/>
          <w:color w:val="auto"/>
          <w:szCs w:val="21"/>
          <w:highlight w:val="none"/>
        </w:rPr>
        <w:t>附件4：</w:t>
      </w:r>
      <w:r>
        <w:rPr>
          <w:rFonts w:hint="eastAsia"/>
          <w:b/>
          <w:color w:val="auto"/>
          <w:szCs w:val="21"/>
          <w:highlight w:val="none"/>
          <w:lang w:val="zh-CN"/>
        </w:rPr>
        <w:t>东莞市财政投资项目造价咨询服务收费项目和收费标准</w:t>
      </w:r>
    </w:p>
    <w:p>
      <w:pPr>
        <w:widowControl/>
        <w:tabs>
          <w:tab w:val="left" w:pos="10422"/>
        </w:tabs>
        <w:spacing w:line="360" w:lineRule="auto"/>
        <w:jc w:val="center"/>
        <w:rPr>
          <w:rFonts w:hAnsi="宋体" w:cs="宋体"/>
          <w:b/>
          <w:color w:val="auto"/>
          <w:szCs w:val="21"/>
          <w:highlight w:val="none"/>
        </w:rPr>
      </w:pPr>
      <w:r>
        <w:rPr>
          <w:rFonts w:hint="eastAsia"/>
          <w:color w:val="auto"/>
          <w:szCs w:val="21"/>
          <w:highlight w:val="none"/>
          <w:lang w:val="zh-CN"/>
        </w:rPr>
        <w:t>东莞市财政投资项目造价咨询服务收费项目和收费标准</w:t>
      </w:r>
    </w:p>
    <w:tbl>
      <w:tblPr>
        <w:tblStyle w:val="49"/>
        <w:tblW w:w="14060" w:type="dxa"/>
        <w:tblInd w:w="0" w:type="dxa"/>
        <w:tblLayout w:type="fixed"/>
        <w:tblCellMar>
          <w:top w:w="0" w:type="dxa"/>
          <w:left w:w="15" w:type="dxa"/>
          <w:bottom w:w="0" w:type="dxa"/>
          <w:right w:w="15" w:type="dxa"/>
        </w:tblCellMar>
      </w:tblPr>
      <w:tblGrid>
        <w:gridCol w:w="441"/>
        <w:gridCol w:w="708"/>
        <w:gridCol w:w="426"/>
        <w:gridCol w:w="141"/>
        <w:gridCol w:w="1134"/>
        <w:gridCol w:w="3261"/>
        <w:gridCol w:w="1842"/>
        <w:gridCol w:w="851"/>
        <w:gridCol w:w="709"/>
        <w:gridCol w:w="850"/>
        <w:gridCol w:w="992"/>
        <w:gridCol w:w="993"/>
        <w:gridCol w:w="992"/>
        <w:gridCol w:w="720"/>
      </w:tblGrid>
      <w:tr>
        <w:tblPrEx>
          <w:tblCellMar>
            <w:top w:w="0" w:type="dxa"/>
            <w:left w:w="15" w:type="dxa"/>
            <w:bottom w:w="0" w:type="dxa"/>
            <w:right w:w="15" w:type="dxa"/>
          </w:tblCellMar>
        </w:tblPrEx>
        <w:trPr>
          <w:trHeight w:val="307" w:hRule="atLeast"/>
        </w:trPr>
        <w:tc>
          <w:tcPr>
            <w:tcW w:w="44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序号</w:t>
            </w:r>
          </w:p>
        </w:tc>
        <w:tc>
          <w:tcPr>
            <w:tcW w:w="240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184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538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720" w:type="dxa"/>
            <w:vMerge w:val="restart"/>
            <w:tcBorders>
              <w:top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备注</w:t>
            </w:r>
          </w:p>
        </w:tc>
      </w:tr>
      <w:tr>
        <w:tblPrEx>
          <w:tblCellMar>
            <w:top w:w="0" w:type="dxa"/>
            <w:left w:w="15" w:type="dxa"/>
            <w:bottom w:w="0" w:type="dxa"/>
            <w:right w:w="15" w:type="dxa"/>
          </w:tblCellMar>
        </w:tblPrEx>
        <w:trPr>
          <w:trHeight w:val="555" w:hRule="atLeast"/>
        </w:trPr>
        <w:tc>
          <w:tcPr>
            <w:tcW w:w="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240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184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720" w:type="dxa"/>
            <w:vMerge w:val="continue"/>
            <w:tcBorders>
              <w:bottom w:val="single" w:color="auto" w:sz="4" w:space="0"/>
              <w:right w:val="single" w:color="auto" w:sz="4" w:space="0"/>
            </w:tcBorders>
            <w:noWrap w:val="0"/>
            <w:vAlign w:val="top"/>
          </w:tcPr>
          <w:p>
            <w:pPr>
              <w:widowControl/>
              <w:rPr>
                <w:color w:val="auto"/>
                <w:highlight w:val="none"/>
              </w:rPr>
            </w:pPr>
          </w:p>
        </w:tc>
      </w:tr>
      <w:tr>
        <w:tblPrEx>
          <w:tblCellMar>
            <w:top w:w="0" w:type="dxa"/>
            <w:left w:w="15" w:type="dxa"/>
            <w:bottom w:w="0" w:type="dxa"/>
            <w:right w:w="15" w:type="dxa"/>
          </w:tblCellMar>
        </w:tblPrEx>
        <w:trPr>
          <w:trHeight w:val="1065" w:hRule="atLeast"/>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240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780" w:hRule="atLeast"/>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240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810" w:hRule="atLeast"/>
        </w:trPr>
        <w:tc>
          <w:tcPr>
            <w:tcW w:w="44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5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870" w:hRule="atLeast"/>
        </w:trPr>
        <w:tc>
          <w:tcPr>
            <w:tcW w:w="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5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750" w:hRule="atLeast"/>
        </w:trPr>
        <w:tc>
          <w:tcPr>
            <w:tcW w:w="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519" w:hRule="atLeast"/>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240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top"/>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735" w:hRule="atLeast"/>
        </w:trPr>
        <w:tc>
          <w:tcPr>
            <w:tcW w:w="44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113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326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720" w:type="dxa"/>
            <w:vMerge w:val="restart"/>
            <w:tcBorders>
              <w:top w:val="single" w:color="auto" w:sz="4" w:space="0"/>
              <w:right w:val="single" w:color="auto" w:sz="4" w:space="0"/>
            </w:tcBorders>
            <w:noWrap w:val="0"/>
            <w:vAlign w:val="top"/>
          </w:tcPr>
          <w:p>
            <w:pPr>
              <w:widowControl/>
              <w:jc w:val="center"/>
              <w:rPr>
                <w:color w:val="auto"/>
                <w:highlight w:val="none"/>
              </w:rPr>
            </w:pPr>
            <w:r>
              <w:rPr>
                <w:rFonts w:hint="eastAsia" w:hAnsi="宋体" w:cs="宋体"/>
                <w:color w:val="auto"/>
                <w:sz w:val="18"/>
                <w:szCs w:val="18"/>
                <w:highlight w:val="none"/>
              </w:rPr>
              <w:t>差额定率累进计费</w:t>
            </w:r>
          </w:p>
        </w:tc>
      </w:tr>
      <w:tr>
        <w:tblPrEx>
          <w:tblCellMar>
            <w:top w:w="0" w:type="dxa"/>
            <w:left w:w="15" w:type="dxa"/>
            <w:bottom w:w="0" w:type="dxa"/>
            <w:right w:w="15" w:type="dxa"/>
          </w:tblCellMar>
        </w:tblPrEx>
        <w:trPr>
          <w:trHeight w:val="468" w:hRule="atLeast"/>
        </w:trPr>
        <w:tc>
          <w:tcPr>
            <w:tcW w:w="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11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326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5387" w:type="dxa"/>
            <w:gridSpan w:val="6"/>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720" w:type="dxa"/>
            <w:vMerge w:val="continue"/>
            <w:tcBorders>
              <w:bottom w:val="single" w:color="auto" w:sz="4" w:space="0"/>
              <w:right w:val="single" w:color="auto" w:sz="4" w:space="0"/>
            </w:tcBorders>
            <w:noWrap w:val="0"/>
            <w:vAlign w:val="top"/>
          </w:tcPr>
          <w:p>
            <w:pPr>
              <w:widowControl/>
              <w:rPr>
                <w:color w:val="auto"/>
                <w:highlight w:val="none"/>
              </w:rPr>
            </w:pPr>
          </w:p>
        </w:tc>
      </w:tr>
      <w:tr>
        <w:tblPrEx>
          <w:tblCellMar>
            <w:top w:w="0" w:type="dxa"/>
            <w:left w:w="15" w:type="dxa"/>
            <w:bottom w:w="0" w:type="dxa"/>
            <w:right w:w="15" w:type="dxa"/>
          </w:tblCellMar>
        </w:tblPrEx>
        <w:trPr>
          <w:trHeight w:val="432" w:hRule="atLeast"/>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240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差额定率累进计费，不包括驻场人员的费用</w:t>
            </w:r>
          </w:p>
        </w:tc>
      </w:tr>
      <w:tr>
        <w:tblPrEx>
          <w:tblCellMar>
            <w:top w:w="0" w:type="dxa"/>
            <w:left w:w="15" w:type="dxa"/>
            <w:bottom w:w="0" w:type="dxa"/>
            <w:right w:w="15" w:type="dxa"/>
          </w:tblCellMar>
        </w:tblPrEx>
        <w:trPr>
          <w:trHeight w:val="990" w:hRule="atLeast"/>
        </w:trPr>
        <w:tc>
          <w:tcPr>
            <w:tcW w:w="44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240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99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差额定率累进计费；原被告单方有造价或双方均无造价</w:t>
            </w:r>
          </w:p>
        </w:tc>
      </w:tr>
      <w:tr>
        <w:tblPrEx>
          <w:tblCellMar>
            <w:top w:w="0" w:type="dxa"/>
            <w:left w:w="15" w:type="dxa"/>
            <w:bottom w:w="0" w:type="dxa"/>
            <w:right w:w="15" w:type="dxa"/>
          </w:tblCellMar>
        </w:tblPrEx>
        <w:trPr>
          <w:trHeight w:val="615" w:hRule="atLeast"/>
        </w:trPr>
        <w:tc>
          <w:tcPr>
            <w:tcW w:w="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240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Ansi="宋体" w:cs="宋体"/>
                <w:color w:val="auto"/>
                <w:sz w:val="18"/>
                <w:szCs w:val="18"/>
                <w:highlight w:val="none"/>
              </w:rPr>
            </w:pP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5387" w:type="dxa"/>
            <w:gridSpan w:val="6"/>
            <w:tcBorders>
              <w:top w:val="single" w:color="000000" w:sz="4" w:space="0"/>
              <w:left w:val="single" w:color="000000" w:sz="4" w:space="0"/>
              <w:bottom w:val="single" w:color="auto"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720" w:type="dxa"/>
            <w:tcBorders>
              <w:top w:val="single" w:color="auto" w:sz="4" w:space="0"/>
              <w:bottom w:val="single" w:color="auto" w:sz="4" w:space="0"/>
              <w:right w:val="single" w:color="auto" w:sz="4" w:space="0"/>
            </w:tcBorders>
            <w:noWrap w:val="0"/>
            <w:vAlign w:val="center"/>
          </w:tcPr>
          <w:p>
            <w:pPr>
              <w:widowControl/>
              <w:jc w:val="center"/>
              <w:rPr>
                <w:color w:val="auto"/>
                <w:highlight w:val="none"/>
              </w:rPr>
            </w:pPr>
            <w:r>
              <w:rPr>
                <w:rFonts w:hint="eastAsia" w:hAnsi="宋体" w:cs="宋体"/>
                <w:color w:val="auto"/>
                <w:sz w:val="18"/>
                <w:szCs w:val="18"/>
                <w:highlight w:val="none"/>
              </w:rPr>
              <w:t>双方各有造价</w:t>
            </w:r>
          </w:p>
        </w:tc>
      </w:tr>
      <w:tr>
        <w:tblPrEx>
          <w:tblCellMar>
            <w:top w:w="0" w:type="dxa"/>
            <w:left w:w="15" w:type="dxa"/>
            <w:bottom w:w="0" w:type="dxa"/>
            <w:right w:w="15" w:type="dxa"/>
          </w:tblCellMar>
        </w:tblPrEx>
        <w:trPr>
          <w:trHeight w:val="1170" w:hRule="atLeast"/>
        </w:trPr>
        <w:tc>
          <w:tcPr>
            <w:tcW w:w="44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2409"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326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5387"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720" w:type="dxa"/>
            <w:tcBorders>
              <w:top w:val="single" w:color="auto" w:sz="4" w:space="0"/>
              <w:bottom w:val="single" w:color="auto" w:sz="4" w:space="0"/>
              <w:right w:val="single" w:color="auto" w:sz="4" w:space="0"/>
            </w:tcBorders>
            <w:noWrap w:val="0"/>
            <w:vAlign w:val="top"/>
          </w:tcPr>
          <w:p>
            <w:pPr>
              <w:widowControl/>
              <w:rPr>
                <w:color w:val="auto"/>
                <w:highlight w:val="none"/>
              </w:rPr>
            </w:pPr>
          </w:p>
        </w:tc>
      </w:tr>
      <w:tr>
        <w:tblPrEx>
          <w:tblCellMar>
            <w:top w:w="0" w:type="dxa"/>
            <w:left w:w="15" w:type="dxa"/>
            <w:bottom w:w="0" w:type="dxa"/>
            <w:right w:w="15" w:type="dxa"/>
          </w:tblCellMar>
        </w:tblPrEx>
        <w:trPr>
          <w:trHeight w:val="1170" w:hRule="atLeast"/>
        </w:trPr>
        <w:tc>
          <w:tcPr>
            <w:tcW w:w="441"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2409" w:type="dxa"/>
            <w:gridSpan w:val="4"/>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3261"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1842"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5387" w:type="dxa"/>
            <w:gridSpan w:val="6"/>
            <w:tcBorders>
              <w:top w:val="single" w:color="000000" w:sz="4" w:space="0"/>
              <w:left w:val="single" w:color="000000" w:sz="4" w:space="0"/>
              <w:bottom w:val="single" w:color="auto" w:sz="4" w:space="0"/>
              <w:right w:val="single" w:color="000000" w:sz="4" w:space="0"/>
            </w:tcBorders>
            <w:noWrap w:val="0"/>
            <w:vAlign w:val="center"/>
          </w:tcPr>
          <w:p>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720" w:type="dxa"/>
            <w:tcBorders>
              <w:top w:val="single" w:color="auto" w:sz="4" w:space="0"/>
              <w:bottom w:val="single" w:color="auto" w:sz="4" w:space="0"/>
              <w:right w:val="single" w:color="auto" w:sz="4" w:space="0"/>
            </w:tcBorders>
            <w:noWrap w:val="0"/>
            <w:vAlign w:val="top"/>
          </w:tcPr>
          <w:p>
            <w:pPr>
              <w:widowControl/>
              <w:rPr>
                <w:color w:val="auto"/>
                <w:highlight w:val="none"/>
              </w:rPr>
            </w:pPr>
          </w:p>
        </w:tc>
      </w:tr>
    </w:tbl>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color w:val="auto"/>
          <w:highlight w:val="none"/>
        </w:rPr>
        <w:t xml:space="preserve"> </w:t>
      </w:r>
      <w:r>
        <w:rPr>
          <w:rFonts w:hint="eastAsia" w:hAnsi="宋体" w:cs="宋体"/>
          <w:b/>
          <w:bCs/>
          <w:color w:val="auto"/>
          <w:sz w:val="18"/>
          <w:szCs w:val="18"/>
          <w:highlight w:val="none"/>
        </w:rPr>
        <w:t>本计费标准均未考虑各咨询人的投标下浮，具体的咨询服务费用应按《东莞市财政性资金投资建设项目工程造价咨询合同》约定的下浮率计算。</w:t>
      </w:r>
    </w:p>
    <w:p>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2.</w:t>
      </w:r>
      <w:r>
        <w:rPr>
          <w:rFonts w:hint="eastAsia"/>
          <w:color w:val="auto"/>
          <w:highlight w:val="none"/>
        </w:rPr>
        <w:t xml:space="preserve"> </w:t>
      </w:r>
      <w:r>
        <w:rPr>
          <w:rFonts w:hint="eastAsia" w:hAnsi="宋体" w:cs="宋体"/>
          <w:b/>
          <w:bCs/>
          <w:color w:val="auto"/>
          <w:sz w:val="18"/>
          <w:szCs w:val="18"/>
          <w:highlight w:val="none"/>
        </w:rPr>
        <w:t>计算咨询服务费用时，以单独出具的成果文件为独立核算单位。对一个造价咨询合同含有多个成果文件的，计算咨询服务费时，以单独出具的成果文件为独立核算单位。每项单独成果文件出具后，可根据该项单独成果文件。</w:t>
      </w:r>
    </w:p>
    <w:p>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3.</w:t>
      </w:r>
      <w:r>
        <w:rPr>
          <w:rFonts w:hint="eastAsia" w:hAnsi="宋体" w:cs="宋体"/>
          <w:b/>
          <w:bCs/>
          <w:color w:val="auto"/>
          <w:sz w:val="18"/>
          <w:szCs w:val="18"/>
          <w:highlight w:val="none"/>
        </w:rPr>
        <w:t xml:space="preserve"> 公路、港口及水利工程预算、招标控制价（含工程量清单）的编制费按定额计价法收费标准计费。公路、港口及水利工程预算、招标控制价（含工程量清单）的审核按照编制费乘以</w:t>
      </w:r>
      <w:r>
        <w:rPr>
          <w:rFonts w:hAnsi="宋体" w:cs="宋体"/>
          <w:b/>
          <w:bCs/>
          <w:color w:val="auto"/>
          <w:sz w:val="18"/>
          <w:szCs w:val="18"/>
          <w:highlight w:val="none"/>
        </w:rPr>
        <w:t xml:space="preserve">0.9 </w:t>
      </w:r>
      <w:r>
        <w:rPr>
          <w:rFonts w:hint="eastAsia" w:hAnsi="宋体" w:cs="宋体"/>
          <w:b/>
          <w:bCs/>
          <w:color w:val="auto"/>
          <w:sz w:val="18"/>
          <w:szCs w:val="18"/>
          <w:highlight w:val="none"/>
        </w:rPr>
        <w:t>系数计算。</w:t>
      </w:r>
    </w:p>
    <w:p>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4.</w:t>
      </w:r>
      <w:r>
        <w:rPr>
          <w:rFonts w:hint="eastAsia" w:hAnsi="宋体" w:cs="宋体"/>
          <w:b/>
          <w:bCs/>
          <w:color w:val="auto"/>
          <w:sz w:val="18"/>
          <w:szCs w:val="18"/>
          <w:highlight w:val="none"/>
        </w:rPr>
        <w:t xml:space="preserve"> 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另外房屋建筑抽钢筋费另计。</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5.</w:t>
      </w:r>
      <w:r>
        <w:rPr>
          <w:rFonts w:hint="eastAsia"/>
          <w:color w:val="auto"/>
          <w:highlight w:val="none"/>
        </w:rPr>
        <w:t xml:space="preserve"> </w:t>
      </w:r>
      <w:r>
        <w:rPr>
          <w:rFonts w:hint="eastAsia" w:hAnsi="宋体" w:cs="宋体"/>
          <w:b/>
          <w:bCs/>
          <w:color w:val="auto"/>
          <w:sz w:val="18"/>
          <w:szCs w:val="18"/>
          <w:highlight w:val="none"/>
        </w:rPr>
        <w:t>实行驻场审核项目的收费标准按本计费标准乘以1.20 系数计算。</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6.</w:t>
      </w:r>
      <w:r>
        <w:rPr>
          <w:rFonts w:hint="eastAsia"/>
          <w:color w:val="auto"/>
          <w:highlight w:val="none"/>
        </w:rPr>
        <w:t xml:space="preserve"> </w:t>
      </w:r>
      <w:r>
        <w:rPr>
          <w:rFonts w:hint="eastAsia" w:hAnsi="宋体" w:cs="宋体"/>
          <w:b/>
          <w:bCs/>
          <w:color w:val="auto"/>
          <w:sz w:val="18"/>
          <w:szCs w:val="18"/>
          <w:highlight w:val="none"/>
        </w:rPr>
        <w:t>除房屋建筑外，以上编审预、结算的咨询费用已含编审项目的抽审钢筋实际用量的费用。</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7.</w:t>
      </w:r>
      <w:r>
        <w:rPr>
          <w:rFonts w:hint="eastAsia" w:ascii="仿宋" w:eastAsia="仿宋" w:cs="仿宋"/>
          <w:color w:val="auto"/>
          <w:sz w:val="28"/>
          <w:szCs w:val="28"/>
          <w:highlight w:val="none"/>
        </w:rPr>
        <w:t xml:space="preserve"> </w:t>
      </w:r>
      <w:r>
        <w:rPr>
          <w:rFonts w:hint="eastAsia" w:hAnsi="宋体" w:cs="宋体"/>
          <w:b/>
          <w:bCs/>
          <w:color w:val="auto"/>
          <w:sz w:val="18"/>
          <w:szCs w:val="18"/>
          <w:highlight w:val="none"/>
        </w:rPr>
        <w:t>根据委托，同一咨询人对同一项目的概算及预算（最高报价值）进行编制或审核的，则按以下原则计算：</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1</w:t>
      </w:r>
      <w:r>
        <w:rPr>
          <w:rFonts w:hint="eastAsia" w:hAnsi="宋体" w:cs="宋体"/>
          <w:b/>
          <w:bCs/>
          <w:color w:val="auto"/>
          <w:sz w:val="18"/>
          <w:szCs w:val="18"/>
          <w:highlight w:val="none"/>
        </w:rPr>
        <w:t>）如第一次委托编审概算，第二次委托编审预算（最高报价值）的，则第一次委托的费用按其相应类型及对应的成果文件计算费用，第二次委托的费用按其第二次委托相应类型及对应的成果文件计算</w:t>
      </w:r>
      <w:r>
        <w:rPr>
          <w:rFonts w:hAnsi="宋体" w:cs="宋体"/>
          <w:b/>
          <w:bCs/>
          <w:color w:val="auto"/>
          <w:sz w:val="18"/>
          <w:szCs w:val="18"/>
          <w:highlight w:val="none"/>
        </w:rPr>
        <w:t>60%</w:t>
      </w:r>
      <w:r>
        <w:rPr>
          <w:rFonts w:hint="eastAsia" w:hAnsi="宋体" w:cs="宋体"/>
          <w:b/>
          <w:bCs/>
          <w:color w:val="auto"/>
          <w:sz w:val="18"/>
          <w:szCs w:val="18"/>
          <w:highlight w:val="none"/>
        </w:rPr>
        <w:t>的咨询费用。</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w:t>
      </w:r>
      <w:r>
        <w:rPr>
          <w:rFonts w:hAnsi="宋体" w:cs="宋体"/>
          <w:b/>
          <w:bCs/>
          <w:color w:val="auto"/>
          <w:sz w:val="18"/>
          <w:szCs w:val="18"/>
          <w:highlight w:val="none"/>
        </w:rPr>
        <w:t>2</w:t>
      </w:r>
      <w:r>
        <w:rPr>
          <w:rFonts w:hint="eastAsia" w:hAnsi="宋体" w:cs="宋体"/>
          <w:b/>
          <w:bCs/>
          <w:color w:val="auto"/>
          <w:sz w:val="18"/>
          <w:szCs w:val="18"/>
          <w:highlight w:val="none"/>
        </w:rPr>
        <w:t>）如同时委托编审概算及预算（投标控制价）的，则按预算咨询费的</w:t>
      </w:r>
      <w:r>
        <w:rPr>
          <w:rFonts w:hAnsi="宋体" w:cs="宋体"/>
          <w:b/>
          <w:bCs/>
          <w:color w:val="auto"/>
          <w:sz w:val="18"/>
          <w:szCs w:val="18"/>
          <w:highlight w:val="none"/>
        </w:rPr>
        <w:t>120%</w:t>
      </w:r>
      <w:r>
        <w:rPr>
          <w:rFonts w:hint="eastAsia" w:hAnsi="宋体" w:cs="宋体"/>
          <w:b/>
          <w:bCs/>
          <w:color w:val="auto"/>
          <w:sz w:val="18"/>
          <w:szCs w:val="18"/>
          <w:highlight w:val="none"/>
        </w:rPr>
        <w:t>的计算。</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（3）如第二次委托编审预算（最高报价值）的范围与第一次委托编审概算的范围明显不同的，则第二次委托与第一次委托不同范围部分按其相应类型及对应的造价计算额外的咨询费用。</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8.</w:t>
      </w:r>
      <w:r>
        <w:rPr>
          <w:rFonts w:hint="eastAsia"/>
          <w:color w:val="auto"/>
          <w:highlight w:val="none"/>
        </w:rPr>
        <w:t xml:space="preserve"> </w:t>
      </w:r>
      <w:r>
        <w:rPr>
          <w:rFonts w:hint="eastAsia" w:hAnsi="宋体" w:cs="宋体"/>
          <w:b/>
          <w:bCs/>
          <w:color w:val="auto"/>
          <w:sz w:val="18"/>
          <w:szCs w:val="18"/>
          <w:highlight w:val="none"/>
        </w:rPr>
        <w:t>属于结算二次审核的项目，咨询费按本计费标准乘以1.20 系数计算。</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9.</w:t>
      </w:r>
      <w:r>
        <w:rPr>
          <w:rFonts w:hint="eastAsia"/>
          <w:color w:val="auto"/>
          <w:highlight w:val="none"/>
        </w:rPr>
        <w:t xml:space="preserve"> </w:t>
      </w:r>
      <w:r>
        <w:rPr>
          <w:rFonts w:hint="eastAsia" w:hAnsi="宋体" w:cs="宋体"/>
          <w:b/>
          <w:bCs/>
          <w:color w:val="auto"/>
          <w:sz w:val="18"/>
          <w:szCs w:val="18"/>
          <w:highlight w:val="none"/>
        </w:rPr>
        <w:t>变更工程预算编制可委托原项目预算编制单位编制，咨询费参照编制预算的计费标准计算。</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10.</w:t>
      </w:r>
      <w:r>
        <w:rPr>
          <w:rFonts w:hint="eastAsia"/>
          <w:color w:val="auto"/>
          <w:highlight w:val="none"/>
        </w:rPr>
        <w:t xml:space="preserve"> </w:t>
      </w:r>
      <w:r>
        <w:rPr>
          <w:rFonts w:hint="eastAsia" w:hAnsi="宋体" w:cs="宋体"/>
          <w:b/>
          <w:bCs/>
          <w:color w:val="auto"/>
          <w:sz w:val="18"/>
          <w:szCs w:val="18"/>
          <w:highlight w:val="none"/>
        </w:rPr>
        <w:t>工程结算审核，基本收费基数为审定金额。审定金额的意义：总价合同方式条件下，审定金额指审定的变更增加工程造价及变更减少工程造价绝对值之和；单价合同方式条件下，审定金额指审定工程结算总造价。另外,效益收费的基数为净核减（或净核增）。</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11.</w:t>
      </w:r>
      <w:r>
        <w:rPr>
          <w:rFonts w:hint="eastAsia"/>
          <w:color w:val="auto"/>
          <w:highlight w:val="none"/>
        </w:rPr>
        <w:t xml:space="preserve"> </w:t>
      </w:r>
      <w:r>
        <w:rPr>
          <w:rFonts w:hint="eastAsia" w:hAnsi="宋体" w:cs="宋体"/>
          <w:b/>
          <w:bCs/>
          <w:color w:val="auto"/>
          <w:sz w:val="18"/>
          <w:szCs w:val="18"/>
          <w:highlight w:val="none"/>
        </w:rPr>
        <w:t>工程结算编制，收费基数“结算价”的定义,在总价合同方式条件下，“结算价”指编制的变更增加工程造价及变更减少工程造价绝对值之和；单价合同方式条件下，“结算价”指编制的工程结算总造价。</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12.</w:t>
      </w:r>
      <w:r>
        <w:rPr>
          <w:rFonts w:hint="eastAsia"/>
          <w:color w:val="auto"/>
          <w:highlight w:val="none"/>
        </w:rPr>
        <w:t xml:space="preserve"> </w:t>
      </w:r>
      <w:r>
        <w:rPr>
          <w:rFonts w:hint="eastAsia" w:hAnsi="宋体" w:cs="宋体"/>
          <w:b/>
          <w:bCs/>
          <w:color w:val="auto"/>
          <w:sz w:val="18"/>
          <w:szCs w:val="18"/>
          <w:highlight w:val="none"/>
        </w:rPr>
        <w:t>收费不足1600 元的，按1600 元计收。</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13.</w:t>
      </w:r>
      <w:r>
        <w:rPr>
          <w:rFonts w:hint="eastAsia"/>
          <w:color w:val="auto"/>
          <w:highlight w:val="none"/>
        </w:rPr>
        <w:t xml:space="preserve"> </w:t>
      </w:r>
      <w:r>
        <w:rPr>
          <w:rFonts w:hint="eastAsia" w:hAnsi="宋体" w:cs="宋体"/>
          <w:b/>
          <w:bCs/>
          <w:color w:val="auto"/>
          <w:sz w:val="18"/>
          <w:szCs w:val="18"/>
          <w:highlight w:val="none"/>
        </w:rPr>
        <w:t>特殊项目的收费标准另行商议。</w:t>
      </w:r>
    </w:p>
    <w:p>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14.</w:t>
      </w:r>
      <w:r>
        <w:rPr>
          <w:rFonts w:hint="eastAsia"/>
          <w:color w:val="auto"/>
          <w:highlight w:val="none"/>
        </w:rPr>
        <w:t xml:space="preserve"> </w:t>
      </w:r>
      <w:r>
        <w:rPr>
          <w:rFonts w:hint="eastAsia" w:hAnsi="宋体" w:cs="宋体"/>
          <w:b/>
          <w:bCs/>
          <w:color w:val="auto"/>
          <w:sz w:val="18"/>
          <w:szCs w:val="18"/>
          <w:highlight w:val="none"/>
        </w:rPr>
        <w:t>按以上内容计算咨询费后，不另行计算其他一切费用（如现场查勘、外出考察、外聘专家等）。</w:t>
      </w:r>
    </w:p>
    <w:p>
      <w:pPr>
        <w:ind w:firstLine="361" w:firstLineChars="200"/>
        <w:rPr>
          <w:rFonts w:hAnsi="宋体" w:cs="宋体"/>
          <w:b/>
          <w:bCs/>
          <w:color w:val="auto"/>
          <w:sz w:val="18"/>
          <w:szCs w:val="18"/>
          <w:highlight w:val="none"/>
        </w:rPr>
      </w:pPr>
      <w:r>
        <w:rPr>
          <w:rFonts w:hint="eastAsia" w:hAnsi="宋体" w:cs="宋体"/>
          <w:b/>
          <w:bCs/>
          <w:color w:val="auto"/>
          <w:sz w:val="18"/>
          <w:szCs w:val="18"/>
          <w:highlight w:val="none"/>
        </w:rPr>
        <w:t>15.</w:t>
      </w:r>
      <w:r>
        <w:rPr>
          <w:rFonts w:hint="eastAsia"/>
          <w:color w:val="auto"/>
          <w:highlight w:val="none"/>
        </w:rPr>
        <w:t xml:space="preserve"> </w:t>
      </w:r>
      <w:r>
        <w:rPr>
          <w:rFonts w:hint="eastAsia" w:hAnsi="宋体" w:cs="宋体"/>
          <w:b/>
          <w:bCs/>
          <w:color w:val="auto"/>
          <w:sz w:val="18"/>
          <w:szCs w:val="18"/>
          <w:highlight w:val="none"/>
        </w:rPr>
        <w:t>以上咨询费为含税金额。</w:t>
      </w:r>
    </w:p>
    <w:p>
      <w:pPr>
        <w:rPr>
          <w:color w:val="auto"/>
          <w:highlight w:val="none"/>
        </w:rPr>
        <w:sectPr>
          <w:footerReference r:id="rId9" w:type="default"/>
          <w:pgSz w:w="16840" w:h="11907" w:orient="landscape"/>
          <w:pgMar w:top="1191" w:right="1247" w:bottom="1191" w:left="1247" w:header="851" w:footer="992" w:gutter="0"/>
          <w:cols w:space="720" w:num="1"/>
          <w:docGrid w:linePitch="312" w:charSpace="0"/>
        </w:sectPr>
      </w:pPr>
    </w:p>
    <w:p>
      <w:pPr>
        <w:rPr>
          <w:rFonts w:hAnsi="宋体"/>
          <w:b/>
          <w:color w:val="auto"/>
          <w:szCs w:val="21"/>
          <w:highlight w:val="none"/>
        </w:rPr>
      </w:pPr>
      <w:r>
        <w:rPr>
          <w:rFonts w:hint="eastAsia" w:hAnsi="宋体"/>
          <w:b/>
          <w:color w:val="auto"/>
          <w:szCs w:val="21"/>
          <w:highlight w:val="none"/>
        </w:rPr>
        <w:t>附件5：工程造价咨询委托单</w:t>
      </w:r>
    </w:p>
    <w:p>
      <w:pPr>
        <w:jc w:val="center"/>
        <w:rPr>
          <w:rFonts w:hAnsi="宋体"/>
          <w:b/>
          <w:color w:val="auto"/>
          <w:sz w:val="32"/>
          <w:szCs w:val="32"/>
          <w:highlight w:val="none"/>
        </w:rPr>
      </w:pPr>
      <w:r>
        <w:rPr>
          <w:rFonts w:hint="eastAsia" w:hAnsi="宋体"/>
          <w:b/>
          <w:color w:val="auto"/>
          <w:sz w:val="32"/>
          <w:szCs w:val="32"/>
          <w:highlight w:val="none"/>
        </w:rPr>
        <w:t>工程造价咨询委托单</w:t>
      </w:r>
    </w:p>
    <w:tbl>
      <w:tblPr>
        <w:tblStyle w:val="49"/>
        <w:tblpPr w:leftFromText="180" w:rightFromText="180" w:vertAnchor="page" w:horzAnchor="page" w:tblpX="1335" w:tblpY="2638"/>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pPr>
              <w:rPr>
                <w:color w:val="auto"/>
                <w:sz w:val="21"/>
                <w:szCs w:val="21"/>
                <w:highlight w:val="none"/>
              </w:rPr>
            </w:pPr>
            <w:bookmarkStart w:id="64" w:name="RANGE!A1:D25"/>
            <w:bookmarkEnd w:id="64"/>
            <w:r>
              <w:rPr>
                <w:rFonts w:hint="eastAsia"/>
                <w:color w:val="auto"/>
                <w:sz w:val="21"/>
                <w:szCs w:val="21"/>
                <w:highlight w:val="none"/>
              </w:rPr>
              <w:t>委托人（单位）：</w:t>
            </w:r>
          </w:p>
        </w:tc>
        <w:tc>
          <w:tcPr>
            <w:tcW w:w="4959" w:type="dxa"/>
            <w:noWrap w:val="0"/>
            <w:vAlign w:val="center"/>
          </w:tcPr>
          <w:p>
            <w:pPr>
              <w:rPr>
                <w:color w:val="auto"/>
                <w:sz w:val="21"/>
                <w:szCs w:val="21"/>
                <w:highlight w:val="none"/>
              </w:rPr>
            </w:pPr>
          </w:p>
        </w:tc>
        <w:tc>
          <w:tcPr>
            <w:tcW w:w="2583" w:type="dxa"/>
            <w:vMerge w:val="restart"/>
            <w:noWrap w:val="0"/>
            <w:vAlign w:val="top"/>
          </w:tcPr>
          <w:p>
            <w:pPr>
              <w:wordWrap w:val="0"/>
              <w:spacing w:line="360" w:lineRule="auto"/>
              <w:ind w:right="480"/>
              <w:rPr>
                <w:b/>
                <w:color w:val="auto"/>
                <w:sz w:val="21"/>
                <w:szCs w:val="21"/>
                <w:highlight w:val="none"/>
              </w:rPr>
            </w:pPr>
            <w:r>
              <w:rPr>
                <w:rFonts w:hint="eastAsia"/>
                <w:b/>
                <w:color w:val="auto"/>
                <w:sz w:val="21"/>
                <w:szCs w:val="21"/>
                <w:highlight w:val="none"/>
              </w:rPr>
              <w:t xml:space="preserve">委托编号: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pPr>
              <w:rPr>
                <w:color w:val="auto"/>
                <w:sz w:val="21"/>
                <w:szCs w:val="21"/>
                <w:highlight w:val="none"/>
              </w:rPr>
            </w:pPr>
            <w:r>
              <w:rPr>
                <w:rFonts w:hint="eastAsia"/>
                <w:color w:val="auto"/>
                <w:sz w:val="21"/>
                <w:szCs w:val="21"/>
                <w:highlight w:val="none"/>
              </w:rPr>
              <w:t>建设单位：</w:t>
            </w:r>
          </w:p>
        </w:tc>
        <w:tc>
          <w:tcPr>
            <w:tcW w:w="4959" w:type="dxa"/>
            <w:noWrap w:val="0"/>
            <w:vAlign w:val="center"/>
          </w:tcPr>
          <w:p>
            <w:pPr>
              <w:rPr>
                <w:b/>
                <w:bCs/>
                <w:color w:val="auto"/>
                <w:sz w:val="21"/>
                <w:szCs w:val="21"/>
                <w:highlight w:val="none"/>
              </w:rPr>
            </w:pPr>
          </w:p>
        </w:tc>
        <w:tc>
          <w:tcPr>
            <w:tcW w:w="2583" w:type="dxa"/>
            <w:vMerge w:val="continue"/>
            <w:noWrap w:val="0"/>
            <w:vAlign w:val="center"/>
          </w:tcPr>
          <w:p>
            <w:pPr>
              <w:rPr>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pPr>
              <w:rPr>
                <w:color w:val="auto"/>
                <w:sz w:val="21"/>
                <w:szCs w:val="21"/>
                <w:highlight w:val="none"/>
              </w:rPr>
            </w:pPr>
            <w:r>
              <w:rPr>
                <w:rFonts w:hint="eastAsia"/>
                <w:color w:val="auto"/>
                <w:sz w:val="21"/>
                <w:szCs w:val="21"/>
                <w:highlight w:val="none"/>
              </w:rPr>
              <w:t>咨询人：</w:t>
            </w:r>
          </w:p>
        </w:tc>
        <w:tc>
          <w:tcPr>
            <w:tcW w:w="7542" w:type="dxa"/>
            <w:gridSpan w:val="2"/>
            <w:noWrap w:val="0"/>
            <w:vAlign w:val="center"/>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pPr>
              <w:rPr>
                <w:color w:val="auto"/>
                <w:sz w:val="21"/>
                <w:szCs w:val="21"/>
                <w:highlight w:val="none"/>
              </w:rPr>
            </w:pPr>
            <w:r>
              <w:rPr>
                <w:rFonts w:hint="eastAsia"/>
                <w:color w:val="auto"/>
                <w:sz w:val="21"/>
                <w:szCs w:val="21"/>
                <w:highlight w:val="none"/>
              </w:rPr>
              <w:t>工程名称：</w:t>
            </w:r>
          </w:p>
        </w:tc>
        <w:tc>
          <w:tcPr>
            <w:tcW w:w="7542" w:type="dxa"/>
            <w:gridSpan w:val="2"/>
            <w:noWrap w:val="0"/>
            <w:vAlign w:val="center"/>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pPr>
              <w:rPr>
                <w:color w:val="auto"/>
                <w:sz w:val="21"/>
                <w:szCs w:val="21"/>
                <w:highlight w:val="none"/>
              </w:rPr>
            </w:pPr>
            <w:r>
              <w:rPr>
                <w:rFonts w:hint="eastAsia"/>
                <w:color w:val="auto"/>
                <w:sz w:val="21"/>
                <w:szCs w:val="21"/>
                <w:highlight w:val="none"/>
              </w:rPr>
              <w:t>工程地点：</w:t>
            </w:r>
          </w:p>
        </w:tc>
        <w:tc>
          <w:tcPr>
            <w:tcW w:w="7542" w:type="dxa"/>
            <w:gridSpan w:val="2"/>
            <w:noWrap w:val="0"/>
            <w:vAlign w:val="center"/>
          </w:tcPr>
          <w:p>
            <w:pP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pPr>
              <w:numPr>
                <w:ilvl w:val="0"/>
                <w:numId w:val="24"/>
              </w:num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咨询内容：1.编制/审核预算( </w:t>
            </w:r>
            <w:r>
              <w:rPr>
                <w:rFonts w:hAnsi="宋体"/>
                <w:color w:val="auto"/>
                <w:sz w:val="21"/>
                <w:szCs w:val="21"/>
                <w:highlight w:val="none"/>
              </w:rPr>
              <w:t>□</w:t>
            </w:r>
            <w:r>
              <w:rPr>
                <w:rFonts w:hint="eastAsia" w:hAnsi="宋体"/>
                <w:color w:val="auto"/>
                <w:sz w:val="21"/>
                <w:szCs w:val="21"/>
                <w:highlight w:val="none"/>
              </w:rPr>
              <w:t xml:space="preserve">抽筋     </w:t>
            </w:r>
            <w:r>
              <w:rPr>
                <w:rFonts w:hAnsi="宋体"/>
                <w:color w:val="auto"/>
                <w:sz w:val="21"/>
                <w:szCs w:val="21"/>
                <w:highlight w:val="none"/>
              </w:rPr>
              <w:t>□</w:t>
            </w:r>
            <w:r>
              <w:rPr>
                <w:rFonts w:hint="eastAsia" w:hAnsi="宋体"/>
                <w:color w:val="auto"/>
                <w:sz w:val="21"/>
                <w:szCs w:val="21"/>
                <w:highlight w:val="none"/>
              </w:rPr>
              <w:t xml:space="preserve">不抽筋     </w:t>
            </w:r>
            <w:r>
              <w:rPr>
                <w:rFonts w:hAnsi="宋体"/>
                <w:color w:val="auto"/>
                <w:sz w:val="21"/>
                <w:szCs w:val="21"/>
                <w:highlight w:val="none"/>
              </w:rPr>
              <w:t>□</w:t>
            </w:r>
            <w:r>
              <w:rPr>
                <w:rFonts w:hint="eastAsia" w:hAnsi="宋体"/>
                <w:color w:val="auto"/>
                <w:sz w:val="21"/>
                <w:szCs w:val="21"/>
                <w:highlight w:val="none"/>
              </w:rPr>
              <w:t xml:space="preserve">定额模式       </w:t>
            </w:r>
            <w:r>
              <w:rPr>
                <w:rFonts w:hAnsi="宋体"/>
                <w:color w:val="auto"/>
                <w:sz w:val="21"/>
                <w:szCs w:val="21"/>
                <w:highlight w:val="none"/>
              </w:rPr>
              <w:t>□</w:t>
            </w:r>
            <w:r>
              <w:rPr>
                <w:rFonts w:hint="eastAsia" w:hAnsi="宋体"/>
                <w:color w:val="auto"/>
                <w:sz w:val="21"/>
                <w:szCs w:val="21"/>
                <w:highlight w:val="none"/>
              </w:rPr>
              <w:t>清单模式)</w:t>
            </w:r>
          </w:p>
          <w:p>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2.编制/审核工程标底预算及工程量清单  </w:t>
            </w:r>
            <w:r>
              <w:rPr>
                <w:rFonts w:hAnsi="宋体"/>
                <w:color w:val="auto"/>
                <w:sz w:val="21"/>
                <w:szCs w:val="21"/>
                <w:highlight w:val="none"/>
              </w:rPr>
              <w:t>□</w:t>
            </w:r>
            <w:r>
              <w:rPr>
                <w:rFonts w:hint="eastAsia" w:hAnsi="宋体"/>
                <w:color w:val="auto"/>
                <w:sz w:val="21"/>
                <w:szCs w:val="21"/>
                <w:highlight w:val="none"/>
              </w:rPr>
              <w:t xml:space="preserve"> </w:t>
            </w:r>
          </w:p>
          <w:p>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3.编制/审核估算    </w:t>
            </w:r>
            <w:r>
              <w:rPr>
                <w:rFonts w:hAnsi="宋体"/>
                <w:color w:val="auto"/>
                <w:sz w:val="21"/>
                <w:szCs w:val="21"/>
                <w:highlight w:val="none"/>
              </w:rPr>
              <w:t>□</w:t>
            </w:r>
            <w:r>
              <w:rPr>
                <w:rFonts w:hint="eastAsia" w:hAnsi="宋体"/>
                <w:color w:val="auto"/>
                <w:sz w:val="21"/>
                <w:szCs w:val="21"/>
                <w:highlight w:val="none"/>
              </w:rPr>
              <w:t xml:space="preserve"> </w:t>
            </w:r>
          </w:p>
          <w:p>
            <w:pPr>
              <w:tabs>
                <w:tab w:val="left" w:pos="1440"/>
                <w:tab w:val="left" w:pos="4320"/>
                <w:tab w:val="left" w:pos="4500"/>
                <w:tab w:val="left" w:pos="9720"/>
                <w:tab w:val="left" w:pos="9900"/>
              </w:tabs>
              <w:spacing w:line="240" w:lineRule="atLeast"/>
              <w:ind w:firstLine="1260" w:firstLineChars="600"/>
              <w:rPr>
                <w:rFonts w:hAnsi="宋体"/>
                <w:color w:val="auto"/>
                <w:sz w:val="21"/>
                <w:szCs w:val="21"/>
                <w:highlight w:val="none"/>
              </w:rPr>
            </w:pPr>
            <w:r>
              <w:rPr>
                <w:rFonts w:hint="eastAsia" w:hAnsi="宋体"/>
                <w:color w:val="auto"/>
                <w:sz w:val="21"/>
                <w:szCs w:val="21"/>
                <w:highlight w:val="none"/>
              </w:rPr>
              <w:t xml:space="preserve">  4.编制/审核结算    </w:t>
            </w:r>
            <w:r>
              <w:rPr>
                <w:rFonts w:hAnsi="宋体"/>
                <w:color w:val="auto"/>
                <w:sz w:val="21"/>
                <w:szCs w:val="21"/>
                <w:highlight w:val="none"/>
              </w:rPr>
              <w:t>□</w:t>
            </w:r>
            <w:r>
              <w:rPr>
                <w:rFonts w:hint="eastAsia" w:hAnsi="宋体"/>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pPr>
              <w:spacing w:line="240" w:lineRule="atLeast"/>
              <w:rPr>
                <w:rFonts w:hint="eastAsia" w:hAnsi="宋体"/>
                <w:color w:val="auto"/>
                <w:sz w:val="21"/>
                <w:szCs w:val="21"/>
                <w:highlight w:val="none"/>
              </w:rPr>
            </w:pPr>
            <w:r>
              <w:rPr>
                <w:rFonts w:hint="eastAsia"/>
                <w:color w:val="auto"/>
                <w:sz w:val="21"/>
                <w:szCs w:val="21"/>
                <w:highlight w:val="none"/>
              </w:rPr>
              <w:t xml:space="preserve">二、采用造价依据：(1) 按现行计价办法编制       </w:t>
            </w:r>
            <w:r>
              <w:rPr>
                <w:rFonts w:hAnsi="宋体"/>
                <w:color w:val="auto"/>
                <w:sz w:val="21"/>
                <w:szCs w:val="21"/>
                <w:highlight w:val="none"/>
              </w:rPr>
              <w:t>□</w:t>
            </w:r>
            <w:r>
              <w:rPr>
                <w:rFonts w:hint="eastAsia" w:hAnsi="宋体"/>
                <w:color w:val="auto"/>
                <w:sz w:val="21"/>
                <w:szCs w:val="21"/>
                <w:highlight w:val="none"/>
              </w:rPr>
              <w:t xml:space="preserve">             (2) 其它要求:   按合同下             </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pPr>
              <w:spacing w:line="240" w:lineRule="atLeast"/>
              <w:rPr>
                <w:color w:val="auto"/>
                <w:sz w:val="21"/>
                <w:szCs w:val="21"/>
                <w:highlight w:val="none"/>
              </w:rPr>
            </w:pPr>
            <w:r>
              <w:rPr>
                <w:rFonts w:hint="eastAsia"/>
                <w:color w:val="auto"/>
                <w:sz w:val="21"/>
                <w:szCs w:val="21"/>
                <w:highlight w:val="none"/>
              </w:rPr>
              <w:t>三、时间要求：</w:t>
            </w:r>
          </w:p>
          <w:p>
            <w:pPr>
              <w:spacing w:line="240" w:lineRule="atLeast"/>
              <w:rPr>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技术交底时间：xx 年xx月xx日上午10：00，交底地点：甲方会议室，请贵司业务负责人及经办人参加；</w:t>
            </w:r>
          </w:p>
          <w:p>
            <w:pPr>
              <w:spacing w:line="240" w:lineRule="atLeast"/>
              <w:rPr>
                <w:color w:val="auto"/>
                <w:sz w:val="21"/>
                <w:szCs w:val="21"/>
                <w:highlight w:val="none"/>
              </w:rPr>
            </w:pPr>
            <w:r>
              <w:rPr>
                <w:rFonts w:hint="eastAsia" w:hAnsi="宋体"/>
                <w:color w:val="auto"/>
                <w:sz w:val="21"/>
                <w:szCs w:val="21"/>
                <w:highlight w:val="none"/>
              </w:rPr>
              <w:t>2.</w:t>
            </w:r>
            <w:r>
              <w:rPr>
                <w:rFonts w:hint="eastAsia"/>
                <w:color w:val="auto"/>
                <w:sz w:val="21"/>
                <w:szCs w:val="21"/>
                <w:highlight w:val="none"/>
              </w:rPr>
              <w:t>过程中需协调的问题、及无合同单价须定价的项目，请在xxxx年xx月xx日前全部提交；</w:t>
            </w:r>
          </w:p>
          <w:p>
            <w:pPr>
              <w:spacing w:line="240" w:lineRule="atLeast"/>
              <w:rPr>
                <w:color w:val="auto"/>
                <w:sz w:val="21"/>
                <w:szCs w:val="21"/>
                <w:highlight w:val="none"/>
              </w:rPr>
            </w:pPr>
            <w:r>
              <w:rPr>
                <w:rFonts w:hint="eastAsia" w:hAnsi="宋体"/>
                <w:color w:val="auto"/>
                <w:sz w:val="21"/>
                <w:szCs w:val="21"/>
                <w:highlight w:val="none"/>
              </w:rPr>
              <w:t>3.</w:t>
            </w:r>
            <w:r>
              <w:rPr>
                <w:rFonts w:hint="eastAsia"/>
                <w:color w:val="auto"/>
                <w:sz w:val="21"/>
                <w:szCs w:val="21"/>
                <w:highlight w:val="none"/>
              </w:rPr>
              <w:t>成果文件初稿需在xx年xx月 xx日前提交；</w:t>
            </w:r>
          </w:p>
          <w:p>
            <w:pPr>
              <w:tabs>
                <w:tab w:val="left" w:pos="1440"/>
                <w:tab w:val="left" w:pos="4320"/>
                <w:tab w:val="left" w:pos="4500"/>
                <w:tab w:val="left" w:pos="9720"/>
                <w:tab w:val="left" w:pos="9900"/>
              </w:tabs>
              <w:spacing w:line="240" w:lineRule="atLeast"/>
              <w:ind w:firstLine="1260" w:firstLineChars="600"/>
              <w:rPr>
                <w:rFonts w:hint="eastAsia" w:hAnsi="宋体"/>
                <w:color w:val="auto"/>
                <w:sz w:val="21"/>
                <w:szCs w:val="21"/>
                <w:highlight w:val="none"/>
              </w:rPr>
            </w:pPr>
            <w:r>
              <w:rPr>
                <w:rFonts w:hint="eastAsia" w:hAnsi="宋体"/>
                <w:color w:val="auto"/>
                <w:sz w:val="21"/>
                <w:szCs w:val="21"/>
                <w:highlight w:val="none"/>
              </w:rPr>
              <w:t>4.</w:t>
            </w:r>
            <w:r>
              <w:rPr>
                <w:rFonts w:hint="eastAsia"/>
                <w:color w:val="auto"/>
                <w:sz w:val="21"/>
                <w:szCs w:val="21"/>
                <w:highlight w:val="none"/>
              </w:rPr>
              <w:t>成果文件终稿需在 xx年xx月xx日前提交，并退回所有从甲方处领取的资料；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spacing w:line="240" w:lineRule="atLeast"/>
              <w:rPr>
                <w:color w:val="auto"/>
                <w:sz w:val="21"/>
                <w:szCs w:val="21"/>
                <w:highlight w:val="none"/>
              </w:rPr>
            </w:pPr>
            <w:r>
              <w:rPr>
                <w:rFonts w:hint="eastAsia"/>
                <w:color w:val="auto"/>
                <w:sz w:val="21"/>
                <w:szCs w:val="21"/>
                <w:highlight w:val="none"/>
              </w:rPr>
              <w:t>四、电子文件命名要求：</w:t>
            </w:r>
          </w:p>
          <w:p>
            <w:pPr>
              <w:spacing w:line="240" w:lineRule="atLeast"/>
              <w:rPr>
                <w:color w:val="auto"/>
                <w:sz w:val="21"/>
                <w:szCs w:val="21"/>
                <w:highlight w:val="none"/>
              </w:rPr>
            </w:pPr>
            <w:r>
              <w:rPr>
                <w:rFonts w:hint="eastAsia"/>
                <w:color w:val="auto"/>
                <w:sz w:val="21"/>
                <w:szCs w:val="21"/>
                <w:highlight w:val="none"/>
              </w:rPr>
              <w:t xml:space="preserve">    文件名称+终稿日期（合同编号+XX项目XX工程）</w:t>
            </w:r>
          </w:p>
          <w:p>
            <w:pPr>
              <w:spacing w:line="240" w:lineRule="atLeast"/>
              <w:rPr>
                <w:color w:val="auto"/>
                <w:sz w:val="21"/>
                <w:szCs w:val="21"/>
                <w:highlight w:val="none"/>
              </w:rPr>
            </w:pPr>
            <w:r>
              <w:rPr>
                <w:rFonts w:hint="eastAsia"/>
                <w:color w:val="auto"/>
                <w:sz w:val="21"/>
                <w:szCs w:val="21"/>
                <w:highlight w:val="none"/>
              </w:rPr>
              <w:t>如：存在问题2009-10-18（XXX工程）；</w:t>
            </w:r>
          </w:p>
          <w:p>
            <w:pPr>
              <w:spacing w:line="240" w:lineRule="atLeast"/>
              <w:ind w:firstLine="420" w:firstLineChars="200"/>
              <w:rPr>
                <w:color w:val="auto"/>
                <w:sz w:val="21"/>
                <w:szCs w:val="21"/>
                <w:highlight w:val="none"/>
              </w:rPr>
            </w:pPr>
            <w:r>
              <w:rPr>
                <w:rFonts w:hint="eastAsia"/>
                <w:color w:val="auto"/>
                <w:sz w:val="21"/>
                <w:szCs w:val="21"/>
                <w:highlight w:val="none"/>
              </w:rPr>
              <w:t>工程预/结算书2009-10-18（XXX工程）；</w:t>
            </w:r>
          </w:p>
          <w:p>
            <w:pPr>
              <w:spacing w:line="240" w:lineRule="atLeast"/>
              <w:rPr>
                <w:color w:val="auto"/>
                <w:sz w:val="21"/>
                <w:szCs w:val="21"/>
                <w:highlight w:val="none"/>
              </w:rPr>
            </w:pPr>
            <w:r>
              <w:rPr>
                <w:rFonts w:hint="eastAsia"/>
                <w:color w:val="auto"/>
                <w:sz w:val="21"/>
                <w:szCs w:val="21"/>
                <w:highlight w:val="none"/>
              </w:rPr>
              <w:t xml:space="preserve">    预/结算审核工程量表2009-10-18（XXX工程）；</w:t>
            </w:r>
          </w:p>
          <w:p>
            <w:pPr>
              <w:spacing w:line="240" w:lineRule="atLeast"/>
              <w:rPr>
                <w:color w:val="auto"/>
                <w:sz w:val="21"/>
                <w:szCs w:val="21"/>
                <w:highlight w:val="none"/>
              </w:rPr>
            </w:pPr>
            <w:r>
              <w:rPr>
                <w:rFonts w:hint="eastAsia"/>
                <w:color w:val="auto"/>
                <w:sz w:val="21"/>
                <w:szCs w:val="21"/>
                <w:highlight w:val="none"/>
              </w:rPr>
              <w:t xml:space="preserve">    技术经济指标分析表2009-10-18（XXX工程）；</w:t>
            </w:r>
          </w:p>
          <w:p>
            <w:pPr>
              <w:tabs>
                <w:tab w:val="left" w:pos="1440"/>
                <w:tab w:val="left" w:pos="4320"/>
                <w:tab w:val="left" w:pos="4500"/>
                <w:tab w:val="left" w:pos="9720"/>
                <w:tab w:val="left" w:pos="9900"/>
              </w:tabs>
              <w:spacing w:line="240" w:lineRule="atLeast"/>
              <w:ind w:firstLine="420" w:firstLineChars="200"/>
              <w:rPr>
                <w:rFonts w:hint="eastAsia" w:hAnsi="宋体"/>
                <w:color w:val="auto"/>
                <w:sz w:val="21"/>
                <w:szCs w:val="21"/>
                <w:highlight w:val="none"/>
              </w:rPr>
            </w:pPr>
            <w:r>
              <w:rPr>
                <w:rFonts w:hint="eastAsia"/>
                <w:color w:val="auto"/>
                <w:sz w:val="21"/>
                <w:szCs w:val="21"/>
                <w:highlight w:val="none"/>
              </w:rPr>
              <w:t>招标工程量清单2009-10-18（XXX工程）；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pPr>
              <w:spacing w:line="240" w:lineRule="atLeast"/>
              <w:rPr>
                <w:color w:val="auto"/>
                <w:sz w:val="21"/>
                <w:szCs w:val="21"/>
                <w:highlight w:val="none"/>
              </w:rPr>
            </w:pPr>
            <w:r>
              <w:rPr>
                <w:rFonts w:hint="eastAsia"/>
                <w:color w:val="auto"/>
                <w:sz w:val="21"/>
                <w:szCs w:val="21"/>
                <w:highlight w:val="none"/>
              </w:rPr>
              <w:t>五、其他：</w:t>
            </w:r>
          </w:p>
          <w:p>
            <w:pPr>
              <w:spacing w:line="240" w:lineRule="atLeast"/>
              <w:rPr>
                <w:color w:val="auto"/>
                <w:sz w:val="21"/>
                <w:szCs w:val="21"/>
                <w:highlight w:val="none"/>
              </w:rPr>
            </w:pPr>
            <w:r>
              <w:rPr>
                <w:rFonts w:hint="eastAsia" w:hAnsi="宋体"/>
                <w:color w:val="auto"/>
                <w:sz w:val="21"/>
                <w:szCs w:val="21"/>
                <w:highlight w:val="none"/>
              </w:rPr>
              <w:t>1.</w:t>
            </w:r>
            <w:r>
              <w:rPr>
                <w:rFonts w:hint="eastAsia"/>
                <w:color w:val="auto"/>
                <w:sz w:val="21"/>
                <w:szCs w:val="21"/>
                <w:highlight w:val="none"/>
              </w:rPr>
              <w:t>请贵司在接到委托单扫描件后8小时内，联系我司招标成本部</w:t>
            </w:r>
            <w:r>
              <w:rPr>
                <w:rFonts w:hint="eastAsia"/>
                <w:color w:val="auto"/>
                <w:sz w:val="21"/>
                <w:szCs w:val="21"/>
                <w:highlight w:val="none"/>
                <w:u w:val="single"/>
              </w:rPr>
              <w:t xml:space="preserve">           </w:t>
            </w:r>
            <w:r>
              <w:rPr>
                <w:rFonts w:hint="eastAsia"/>
                <w:color w:val="auto"/>
                <w:sz w:val="21"/>
                <w:szCs w:val="21"/>
                <w:highlight w:val="none"/>
              </w:rPr>
              <w:t>（办公室电话：0769-28681293，手机</w:t>
            </w:r>
            <w:r>
              <w:rPr>
                <w:rFonts w:hint="eastAsia"/>
                <w:color w:val="auto"/>
                <w:sz w:val="21"/>
                <w:szCs w:val="21"/>
                <w:highlight w:val="none"/>
                <w:u w:val="single"/>
              </w:rPr>
              <w:t xml:space="preserve">       </w:t>
            </w:r>
            <w:r>
              <w:rPr>
                <w:rFonts w:hint="eastAsia"/>
                <w:color w:val="auto"/>
                <w:sz w:val="21"/>
                <w:szCs w:val="21"/>
                <w:highlight w:val="none"/>
              </w:rPr>
              <w:t>，电子邮箱：</w:t>
            </w:r>
            <w:r>
              <w:rPr>
                <w:rFonts w:hint="eastAsia"/>
                <w:color w:val="auto"/>
                <w:sz w:val="21"/>
                <w:szCs w:val="21"/>
                <w:highlight w:val="none"/>
                <w:u w:val="single"/>
              </w:rPr>
              <w:t xml:space="preserve">               </w:t>
            </w:r>
            <w:r>
              <w:rPr>
                <w:rFonts w:hint="eastAsia"/>
                <w:color w:val="auto"/>
                <w:sz w:val="21"/>
                <w:szCs w:val="21"/>
                <w:highlight w:val="none"/>
              </w:rPr>
              <w:t>），并持贵司签字盖章后的委托单及大容量U盘或硬盘到XXXXX领取相关资料。</w:t>
            </w:r>
          </w:p>
          <w:p>
            <w:pPr>
              <w:spacing w:line="240" w:lineRule="atLeast"/>
              <w:rPr>
                <w:rFonts w:hint="eastAsia"/>
                <w:color w:val="auto"/>
                <w:sz w:val="21"/>
                <w:szCs w:val="21"/>
                <w:highlight w:val="none"/>
              </w:rPr>
            </w:pPr>
            <w:r>
              <w:rPr>
                <w:rFonts w:hint="eastAsia" w:hAnsi="宋体"/>
                <w:color w:val="auto"/>
                <w:sz w:val="21"/>
                <w:szCs w:val="21"/>
                <w:highlight w:val="none"/>
              </w:rPr>
              <w:t>2.其他未尽事项按《XXX》（合同编号：</w:t>
            </w:r>
            <w:r>
              <w:rPr>
                <w:color w:val="auto"/>
                <w:sz w:val="21"/>
                <w:szCs w:val="21"/>
                <w:highlight w:val="none"/>
              </w:rPr>
              <w:t xml:space="preserve"> </w:t>
            </w:r>
            <w:r>
              <w:rPr>
                <w:rFonts w:hint="eastAsia"/>
                <w:color w:val="auto"/>
                <w:sz w:val="21"/>
                <w:szCs w:val="21"/>
                <w:highlight w:val="none"/>
              </w:rPr>
              <w:t>XXXX</w:t>
            </w:r>
            <w:r>
              <w:rPr>
                <w:rFonts w:hint="eastAsia" w:hAnsi="宋体"/>
                <w:color w:val="auto"/>
                <w:sz w:val="21"/>
                <w:szCs w:val="21"/>
                <w:highlight w:val="none"/>
              </w:rPr>
              <w:t>）中相应条款执行。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pPr>
              <w:widowControl/>
              <w:ind w:firstLine="4200" w:firstLineChars="2000"/>
              <w:rPr>
                <w:rFonts w:hint="eastAsia"/>
                <w:color w:val="auto"/>
                <w:sz w:val="21"/>
                <w:szCs w:val="21"/>
                <w:highlight w:val="none"/>
              </w:rPr>
            </w:pPr>
            <w:r>
              <w:rPr>
                <w:rFonts w:hint="eastAsia"/>
                <w:color w:val="auto"/>
                <w:sz w:val="21"/>
                <w:szCs w:val="21"/>
                <w:highlight w:val="none"/>
              </w:rPr>
              <w:t>东莞市旗美投资发展有限公司</w:t>
            </w:r>
            <w:r>
              <w:rPr>
                <w:color w:val="auto"/>
                <w:sz w:val="21"/>
                <w:szCs w:val="21"/>
                <w:highlight w:val="none"/>
              </w:rPr>
              <w:t>招标成本部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pPr>
              <w:widowControl/>
              <w:ind w:firstLine="5250" w:firstLineChars="2500"/>
              <w:rPr>
                <w:rFonts w:hint="eastAsia"/>
                <w:color w:val="auto"/>
                <w:sz w:val="21"/>
                <w:szCs w:val="21"/>
                <w:highlight w:val="none"/>
              </w:rPr>
            </w:pPr>
            <w:r>
              <w:rPr>
                <w:rFonts w:hint="eastAsia"/>
                <w:color w:val="auto"/>
                <w:sz w:val="21"/>
                <w:szCs w:val="21"/>
                <w:highlight w:val="none"/>
              </w:rPr>
              <w:t xml:space="preserve">签发：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pPr>
              <w:widowControl/>
              <w:ind w:firstLine="5040" w:firstLineChars="2400"/>
              <w:rPr>
                <w:rFonts w:hint="eastAsia"/>
                <w:color w:val="auto"/>
                <w:sz w:val="21"/>
                <w:szCs w:val="21"/>
                <w:highlight w:val="none"/>
              </w:rPr>
            </w:pPr>
            <w:r>
              <w:rPr>
                <w:rFonts w:hint="eastAsia"/>
                <w:color w:val="auto"/>
                <w:sz w:val="21"/>
                <w:szCs w:val="21"/>
                <w:highlight w:val="none"/>
              </w:rPr>
              <w:t>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pPr>
              <w:widowControl/>
              <w:rPr>
                <w:rFonts w:hint="eastAsia"/>
                <w:color w:val="auto"/>
                <w:sz w:val="21"/>
                <w:szCs w:val="21"/>
                <w:highlight w:val="none"/>
              </w:rPr>
            </w:pPr>
            <w:r>
              <w:rPr>
                <w:rFonts w:hint="eastAsia"/>
                <w:color w:val="auto"/>
                <w:sz w:val="21"/>
                <w:szCs w:val="21"/>
                <w:highlight w:val="none"/>
              </w:rPr>
              <w:t>造价咨询公司法定代表人（授权人）(签字盖章)：_________________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pPr>
              <w:widowControl/>
              <w:rPr>
                <w:rFonts w:hint="eastAsia"/>
                <w:color w:val="auto"/>
                <w:sz w:val="21"/>
                <w:szCs w:val="21"/>
                <w:highlight w:val="none"/>
              </w:rPr>
            </w:pPr>
            <w:r>
              <w:rPr>
                <w:rFonts w:hint="eastAsia"/>
                <w:color w:val="auto"/>
                <w:sz w:val="21"/>
                <w:szCs w:val="21"/>
                <w:highlight w:val="none"/>
              </w:rPr>
              <w:t>咨询方本次项目负责(经办)人：            , 所负责本次项目的名称：                      .</w:t>
            </w:r>
            <w:r>
              <w:rPr>
                <w:rFonts w:hint="eastAsia"/>
                <w:color w:val="auto"/>
                <w:sz w:val="21"/>
                <w:szCs w:val="21"/>
                <w:highlight w:val="none"/>
              </w:rPr>
              <w:br w:type="textWrapping"/>
            </w:r>
            <w:r>
              <w:rPr>
                <w:rFonts w:hint="eastAsia"/>
                <w:color w:val="auto"/>
                <w:sz w:val="21"/>
                <w:szCs w:val="21"/>
                <w:highlight w:val="none"/>
              </w:rPr>
              <w:t>手    机：                              座机:0769--                 .</w:t>
            </w:r>
            <w:r>
              <w:rPr>
                <w:rFonts w:hint="eastAsia"/>
                <w:color w:val="auto"/>
                <w:sz w:val="21"/>
                <w:szCs w:val="21"/>
                <w:highlight w:val="none"/>
              </w:rPr>
              <w:br w:type="textWrapping"/>
            </w:r>
            <w:r>
              <w:rPr>
                <w:rFonts w:hint="eastAsia"/>
                <w:color w:val="auto"/>
                <w:sz w:val="21"/>
                <w:szCs w:val="21"/>
                <w:highlight w:val="none"/>
              </w:rPr>
              <w:t xml:space="preserve">电子邮箱：                               QQ号:                        </w:t>
            </w:r>
          </w:p>
        </w:tc>
      </w:tr>
    </w:tbl>
    <w:p>
      <w:pPr>
        <w:spacing w:line="240" w:lineRule="exact"/>
        <w:jc w:val="center"/>
        <w:rPr>
          <w:rFonts w:hAnsi="宋体" w:cs="宋体"/>
          <w:color w:val="auto"/>
          <w:highlight w:val="none"/>
        </w:rPr>
      </w:pPr>
    </w:p>
    <w:p>
      <w:pPr>
        <w:rPr>
          <w:rFonts w:hint="eastAsia" w:hAnsi="宋体"/>
          <w:b/>
          <w:color w:val="auto"/>
          <w:sz w:val="21"/>
          <w:szCs w:val="21"/>
          <w:highlight w:val="none"/>
        </w:rPr>
      </w:pPr>
      <w:r>
        <w:rPr>
          <w:rFonts w:hint="eastAsia" w:hAnsi="宋体"/>
          <w:b/>
          <w:color w:val="auto"/>
          <w:sz w:val="21"/>
          <w:szCs w:val="21"/>
          <w:highlight w:val="none"/>
        </w:rPr>
        <w:br w:type="page"/>
      </w:r>
    </w:p>
    <w:p>
      <w:pPr>
        <w:pStyle w:val="45"/>
        <w:spacing w:beforeAutospacing="0" w:afterAutospacing="0" w:line="360" w:lineRule="auto"/>
        <w:rPr>
          <w:rFonts w:hint="eastAsia"/>
          <w:color w:val="auto"/>
          <w:sz w:val="21"/>
          <w:szCs w:val="21"/>
          <w:highlight w:val="none"/>
        </w:rPr>
      </w:pPr>
      <w:r>
        <w:rPr>
          <w:rFonts w:hint="eastAsia"/>
          <w:b/>
          <w:color w:val="auto"/>
          <w:sz w:val="21"/>
          <w:szCs w:val="21"/>
          <w:highlight w:val="none"/>
        </w:rPr>
        <w:t>附件6：</w:t>
      </w:r>
      <w:r>
        <w:rPr>
          <w:rFonts w:hint="eastAsia" w:cs="宋体"/>
          <w:b/>
          <w:color w:val="auto"/>
          <w:sz w:val="21"/>
          <w:szCs w:val="21"/>
          <w:highlight w:val="none"/>
          <w:lang w:bidi="ar"/>
        </w:rPr>
        <w:t>东实集团及下属单位工程建设项目造价编制工作手册</w:t>
      </w:r>
    </w:p>
    <w:tbl>
      <w:tblPr>
        <w:tblStyle w:val="49"/>
        <w:tblW w:w="9669" w:type="dxa"/>
        <w:tblInd w:w="0" w:type="dxa"/>
        <w:tblLayout w:type="fixed"/>
        <w:tblCellMar>
          <w:top w:w="0" w:type="dxa"/>
          <w:left w:w="0" w:type="dxa"/>
          <w:bottom w:w="0" w:type="dxa"/>
          <w:right w:w="0" w:type="dxa"/>
        </w:tblCellMar>
      </w:tblPr>
      <w:tblGrid>
        <w:gridCol w:w="411"/>
        <w:gridCol w:w="2662"/>
        <w:gridCol w:w="240"/>
        <w:gridCol w:w="1449"/>
        <w:gridCol w:w="711"/>
        <w:gridCol w:w="1351"/>
        <w:gridCol w:w="651"/>
        <w:gridCol w:w="1080"/>
        <w:gridCol w:w="1063"/>
        <w:gridCol w:w="51"/>
      </w:tblGrid>
      <w:tr>
        <w:tblPrEx>
          <w:tblCellMar>
            <w:top w:w="0" w:type="dxa"/>
            <w:left w:w="0" w:type="dxa"/>
            <w:bottom w:w="0" w:type="dxa"/>
            <w:right w:w="0" w:type="dxa"/>
          </w:tblCellMar>
        </w:tblPrEx>
        <w:trPr>
          <w:trHeight w:val="103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highlight w:val="none"/>
              </w:rPr>
            </w:pPr>
          </w:p>
        </w:tc>
        <w:tc>
          <w:tcPr>
            <w:tcW w:w="240" w:type="dxa"/>
            <w:noWrap/>
            <w:tcMar>
              <w:top w:w="15" w:type="dxa"/>
              <w:left w:w="15" w:type="dxa"/>
              <w:right w:w="15" w:type="dxa"/>
            </w:tcMar>
            <w:vAlign w:val="center"/>
          </w:tcPr>
          <w:p>
            <w:pPr>
              <w:rPr>
                <w:rFonts w:hint="eastAsia" w:hAnsi="宋体" w:cs="宋体"/>
                <w:color w:val="auto"/>
                <w:highlight w:val="none"/>
              </w:rPr>
            </w:pPr>
          </w:p>
        </w:tc>
        <w:tc>
          <w:tcPr>
            <w:tcW w:w="1449" w:type="dxa"/>
            <w:noWrap/>
            <w:tcMar>
              <w:top w:w="15" w:type="dxa"/>
              <w:left w:w="15" w:type="dxa"/>
              <w:right w:w="15" w:type="dxa"/>
            </w:tcMar>
            <w:vAlign w:val="center"/>
          </w:tcPr>
          <w:p>
            <w:pPr>
              <w:rPr>
                <w:rFonts w:hint="eastAsia" w:hAnsi="宋体" w:cs="宋体"/>
                <w:color w:val="auto"/>
                <w:highlight w:val="none"/>
              </w:rPr>
            </w:pPr>
          </w:p>
        </w:tc>
        <w:tc>
          <w:tcPr>
            <w:tcW w:w="711" w:type="dxa"/>
            <w:noWrap/>
            <w:tcMar>
              <w:top w:w="15" w:type="dxa"/>
              <w:left w:w="15" w:type="dxa"/>
              <w:right w:w="15" w:type="dxa"/>
            </w:tcMar>
            <w:vAlign w:val="center"/>
          </w:tcPr>
          <w:p>
            <w:pPr>
              <w:rPr>
                <w:rFonts w:hint="eastAsia" w:hAnsi="宋体" w:cs="宋体"/>
                <w:color w:val="auto"/>
                <w:highlight w:val="none"/>
              </w:rPr>
            </w:pPr>
          </w:p>
        </w:tc>
        <w:tc>
          <w:tcPr>
            <w:tcW w:w="1351" w:type="dxa"/>
            <w:noWrap/>
            <w:tcMar>
              <w:top w:w="15" w:type="dxa"/>
              <w:left w:w="15" w:type="dxa"/>
              <w:right w:w="15" w:type="dxa"/>
            </w:tcMar>
            <w:vAlign w:val="center"/>
          </w:tcPr>
          <w:p>
            <w:pPr>
              <w:rPr>
                <w:rFonts w:hint="eastAsia" w:hAnsi="宋体" w:cs="宋体"/>
                <w:color w:val="auto"/>
                <w:highlight w:val="none"/>
              </w:rPr>
            </w:pPr>
          </w:p>
        </w:tc>
        <w:tc>
          <w:tcPr>
            <w:tcW w:w="2845" w:type="dxa"/>
            <w:gridSpan w:val="4"/>
            <w:noWrap/>
            <w:tcMar>
              <w:top w:w="15" w:type="dxa"/>
              <w:left w:w="15" w:type="dxa"/>
              <w:right w:w="15" w:type="dxa"/>
            </w:tcMar>
            <w:vAlign w:val="center"/>
          </w:tcPr>
          <w:p>
            <w:pPr>
              <w:widowControl/>
              <w:jc w:val="center"/>
              <w:textAlignment w:val="center"/>
              <w:rPr>
                <w:rFonts w:hint="eastAsia" w:hAnsi="宋体" w:cs="宋体"/>
                <w:color w:val="auto"/>
                <w:highlight w:val="none"/>
              </w:rPr>
            </w:pPr>
            <w:r>
              <w:rPr>
                <w:rFonts w:hint="eastAsia" w:hAnsi="宋体" w:cs="宋体"/>
                <w:color w:val="auto"/>
                <w:highlight w:val="none"/>
                <w:lang w:bidi="ar"/>
              </w:rPr>
              <w:t>项目接受编号：</w:t>
            </w:r>
          </w:p>
        </w:tc>
      </w:tr>
      <w:tr>
        <w:tblPrEx>
          <w:tblCellMar>
            <w:top w:w="0" w:type="dxa"/>
            <w:left w:w="0" w:type="dxa"/>
            <w:bottom w:w="0" w:type="dxa"/>
            <w:right w:w="0" w:type="dxa"/>
          </w:tblCellMar>
        </w:tblPrEx>
        <w:trPr>
          <w:trHeight w:val="735" w:hRule="atLeast"/>
        </w:trPr>
        <w:tc>
          <w:tcPr>
            <w:tcW w:w="9669" w:type="dxa"/>
            <w:gridSpan w:val="10"/>
            <w:noWrap/>
            <w:tcMar>
              <w:top w:w="15" w:type="dxa"/>
              <w:left w:w="15" w:type="dxa"/>
              <w:right w:w="15" w:type="dxa"/>
            </w:tcMar>
            <w:vAlign w:val="center"/>
          </w:tcPr>
          <w:p>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东实集团及下属单位工程建设项目</w:t>
            </w:r>
          </w:p>
        </w:tc>
      </w:tr>
      <w:tr>
        <w:tblPrEx>
          <w:tblCellMar>
            <w:top w:w="0" w:type="dxa"/>
            <w:left w:w="0" w:type="dxa"/>
            <w:bottom w:w="0" w:type="dxa"/>
            <w:right w:w="0" w:type="dxa"/>
          </w:tblCellMar>
        </w:tblPrEx>
        <w:trPr>
          <w:trHeight w:val="735" w:hRule="atLeast"/>
        </w:trPr>
        <w:tc>
          <w:tcPr>
            <w:tcW w:w="9669" w:type="dxa"/>
            <w:gridSpan w:val="10"/>
            <w:noWrap/>
            <w:tcMar>
              <w:top w:w="15" w:type="dxa"/>
              <w:left w:w="15" w:type="dxa"/>
              <w:right w:w="15" w:type="dxa"/>
            </w:tcMar>
            <w:vAlign w:val="center"/>
          </w:tcPr>
          <w:p>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造价编制工作手册</w:t>
            </w:r>
          </w:p>
        </w:tc>
      </w:tr>
      <w:tr>
        <w:tblPrEx>
          <w:tblCellMar>
            <w:top w:w="0" w:type="dxa"/>
            <w:left w:w="0" w:type="dxa"/>
            <w:bottom w:w="0" w:type="dxa"/>
            <w:right w:w="0" w:type="dxa"/>
          </w:tblCellMar>
        </w:tblPrEx>
        <w:trPr>
          <w:trHeight w:val="1170"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highlight w:val="none"/>
              </w:rPr>
            </w:pPr>
          </w:p>
        </w:tc>
        <w:tc>
          <w:tcPr>
            <w:tcW w:w="240" w:type="dxa"/>
            <w:noWrap/>
            <w:tcMar>
              <w:top w:w="15" w:type="dxa"/>
              <w:left w:w="15" w:type="dxa"/>
              <w:right w:w="15" w:type="dxa"/>
            </w:tcMar>
            <w:vAlign w:val="center"/>
          </w:tcPr>
          <w:p>
            <w:pPr>
              <w:rPr>
                <w:rFonts w:hint="eastAsia" w:hAnsi="宋体" w:cs="宋体"/>
                <w:color w:val="auto"/>
                <w:highlight w:val="none"/>
              </w:rPr>
            </w:pPr>
          </w:p>
        </w:tc>
        <w:tc>
          <w:tcPr>
            <w:tcW w:w="1449" w:type="dxa"/>
            <w:noWrap/>
            <w:tcMar>
              <w:top w:w="15" w:type="dxa"/>
              <w:left w:w="15" w:type="dxa"/>
              <w:right w:w="15" w:type="dxa"/>
            </w:tcMar>
            <w:vAlign w:val="center"/>
          </w:tcPr>
          <w:p>
            <w:pPr>
              <w:rPr>
                <w:rFonts w:hint="eastAsia" w:hAnsi="宋体" w:cs="宋体"/>
                <w:color w:val="auto"/>
                <w:highlight w:val="none"/>
              </w:rPr>
            </w:pPr>
          </w:p>
        </w:tc>
        <w:tc>
          <w:tcPr>
            <w:tcW w:w="2062" w:type="dxa"/>
            <w:gridSpan w:val="2"/>
            <w:noWrap/>
            <w:tcMar>
              <w:top w:w="15" w:type="dxa"/>
              <w:left w:w="15" w:type="dxa"/>
              <w:right w:w="15" w:type="dxa"/>
            </w:tcMar>
            <w:vAlign w:val="center"/>
          </w:tcPr>
          <w:p>
            <w:pPr>
              <w:jc w:val="center"/>
              <w:rPr>
                <w:rFonts w:hint="eastAsia" w:hAnsi="宋体" w:cs="宋体"/>
                <w:color w:val="auto"/>
                <w:sz w:val="36"/>
                <w:szCs w:val="36"/>
                <w:highlight w:val="none"/>
              </w:rPr>
            </w:pPr>
          </w:p>
        </w:tc>
        <w:tc>
          <w:tcPr>
            <w:tcW w:w="651" w:type="dxa"/>
            <w:noWrap/>
            <w:tcMar>
              <w:top w:w="15" w:type="dxa"/>
              <w:left w:w="15" w:type="dxa"/>
              <w:right w:w="15" w:type="dxa"/>
            </w:tcMar>
            <w:vAlign w:val="center"/>
          </w:tcPr>
          <w:p>
            <w:pPr>
              <w:rPr>
                <w:rFonts w:hint="eastAsia" w:hAnsi="宋体" w:cs="宋体"/>
                <w:color w:val="auto"/>
                <w:highlight w:val="none"/>
              </w:rPr>
            </w:pPr>
          </w:p>
        </w:tc>
        <w:tc>
          <w:tcPr>
            <w:tcW w:w="1080" w:type="dxa"/>
            <w:noWrap/>
            <w:tcMar>
              <w:top w:w="15" w:type="dxa"/>
              <w:left w:w="15" w:type="dxa"/>
              <w:right w:w="15" w:type="dxa"/>
            </w:tcMar>
            <w:vAlign w:val="center"/>
          </w:tcPr>
          <w:p>
            <w:pPr>
              <w:rPr>
                <w:rFonts w:hint="eastAsia" w:hAnsi="宋体" w:cs="宋体"/>
                <w:color w:val="auto"/>
                <w:highlight w:val="none"/>
              </w:rPr>
            </w:pPr>
          </w:p>
        </w:tc>
        <w:tc>
          <w:tcPr>
            <w:tcW w:w="1063" w:type="dxa"/>
            <w:noWrap/>
            <w:tcMar>
              <w:top w:w="15" w:type="dxa"/>
              <w:left w:w="15" w:type="dxa"/>
              <w:right w:w="15" w:type="dxa"/>
            </w:tcMar>
            <w:vAlign w:val="center"/>
          </w:tcPr>
          <w:p>
            <w:pPr>
              <w:rPr>
                <w:rFonts w:hint="eastAsia" w:hAnsi="宋体" w:cs="宋体"/>
                <w:color w:val="auto"/>
                <w:highlight w:val="none"/>
              </w:rPr>
            </w:pPr>
          </w:p>
        </w:tc>
        <w:tc>
          <w:tcPr>
            <w:tcW w:w="51" w:type="dxa"/>
            <w:noWrap/>
            <w:tcMar>
              <w:top w:w="15" w:type="dxa"/>
              <w:left w:w="15" w:type="dxa"/>
              <w:right w:w="15" w:type="dxa"/>
            </w:tcMar>
            <w:vAlign w:val="center"/>
          </w:tcPr>
          <w:p>
            <w:pPr>
              <w:rPr>
                <w:rFonts w:hint="eastAsia" w:hAnsi="宋体" w:cs="宋体"/>
                <w:color w:val="auto"/>
                <w:highlight w:val="none"/>
              </w:rPr>
            </w:pPr>
          </w:p>
        </w:tc>
      </w:tr>
      <w:tr>
        <w:tblPrEx>
          <w:tblCellMar>
            <w:top w:w="0" w:type="dxa"/>
            <w:left w:w="0" w:type="dxa"/>
            <w:bottom w:w="0" w:type="dxa"/>
            <w:right w:w="0" w:type="dxa"/>
          </w:tblCellMar>
        </w:tblPrEx>
        <w:trPr>
          <w:trHeight w:val="1170"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highlight w:val="none"/>
              </w:rPr>
            </w:pPr>
          </w:p>
        </w:tc>
        <w:tc>
          <w:tcPr>
            <w:tcW w:w="240" w:type="dxa"/>
            <w:noWrap/>
            <w:tcMar>
              <w:top w:w="15" w:type="dxa"/>
              <w:left w:w="15" w:type="dxa"/>
              <w:right w:w="15" w:type="dxa"/>
            </w:tcMar>
            <w:vAlign w:val="center"/>
          </w:tcPr>
          <w:p>
            <w:pPr>
              <w:rPr>
                <w:rFonts w:hint="eastAsia" w:hAnsi="宋体" w:cs="宋体"/>
                <w:color w:val="auto"/>
                <w:highlight w:val="none"/>
              </w:rPr>
            </w:pPr>
          </w:p>
        </w:tc>
        <w:tc>
          <w:tcPr>
            <w:tcW w:w="1449" w:type="dxa"/>
            <w:noWrap/>
            <w:tcMar>
              <w:top w:w="15" w:type="dxa"/>
              <w:left w:w="15" w:type="dxa"/>
              <w:right w:w="15" w:type="dxa"/>
            </w:tcMar>
            <w:vAlign w:val="center"/>
          </w:tcPr>
          <w:p>
            <w:pPr>
              <w:rPr>
                <w:rFonts w:hint="eastAsia" w:hAnsi="宋体" w:cs="宋体"/>
                <w:color w:val="auto"/>
                <w:highlight w:val="none"/>
              </w:rPr>
            </w:pPr>
          </w:p>
        </w:tc>
        <w:tc>
          <w:tcPr>
            <w:tcW w:w="711" w:type="dxa"/>
            <w:noWrap/>
            <w:tcMar>
              <w:top w:w="15" w:type="dxa"/>
              <w:left w:w="15" w:type="dxa"/>
              <w:right w:w="15" w:type="dxa"/>
            </w:tcMar>
            <w:vAlign w:val="center"/>
          </w:tcPr>
          <w:p>
            <w:pPr>
              <w:rPr>
                <w:rFonts w:hint="eastAsia" w:hAnsi="宋体" w:cs="宋体"/>
                <w:color w:val="auto"/>
                <w:highlight w:val="none"/>
              </w:rPr>
            </w:pPr>
          </w:p>
        </w:tc>
        <w:tc>
          <w:tcPr>
            <w:tcW w:w="1351" w:type="dxa"/>
            <w:noWrap/>
            <w:tcMar>
              <w:top w:w="15" w:type="dxa"/>
              <w:left w:w="15" w:type="dxa"/>
              <w:right w:w="15" w:type="dxa"/>
            </w:tcMar>
            <w:vAlign w:val="center"/>
          </w:tcPr>
          <w:p>
            <w:pPr>
              <w:rPr>
                <w:rFonts w:hint="eastAsia" w:hAnsi="宋体" w:cs="宋体"/>
                <w:color w:val="auto"/>
                <w:highlight w:val="none"/>
              </w:rPr>
            </w:pPr>
          </w:p>
        </w:tc>
        <w:tc>
          <w:tcPr>
            <w:tcW w:w="651" w:type="dxa"/>
            <w:noWrap/>
            <w:tcMar>
              <w:top w:w="15" w:type="dxa"/>
              <w:left w:w="15" w:type="dxa"/>
              <w:right w:w="15" w:type="dxa"/>
            </w:tcMar>
            <w:vAlign w:val="center"/>
          </w:tcPr>
          <w:p>
            <w:pPr>
              <w:rPr>
                <w:rFonts w:hint="eastAsia" w:hAnsi="宋体" w:cs="宋体"/>
                <w:color w:val="auto"/>
                <w:highlight w:val="none"/>
              </w:rPr>
            </w:pPr>
          </w:p>
        </w:tc>
        <w:tc>
          <w:tcPr>
            <w:tcW w:w="1080" w:type="dxa"/>
            <w:noWrap/>
            <w:tcMar>
              <w:top w:w="15" w:type="dxa"/>
              <w:left w:w="15" w:type="dxa"/>
              <w:right w:w="15" w:type="dxa"/>
            </w:tcMar>
            <w:vAlign w:val="center"/>
          </w:tcPr>
          <w:p>
            <w:pPr>
              <w:rPr>
                <w:rFonts w:hint="eastAsia" w:hAnsi="宋体" w:cs="宋体"/>
                <w:color w:val="auto"/>
                <w:highlight w:val="none"/>
              </w:rPr>
            </w:pPr>
          </w:p>
        </w:tc>
        <w:tc>
          <w:tcPr>
            <w:tcW w:w="1063" w:type="dxa"/>
            <w:noWrap/>
            <w:tcMar>
              <w:top w:w="15" w:type="dxa"/>
              <w:left w:w="15" w:type="dxa"/>
              <w:right w:w="15" w:type="dxa"/>
            </w:tcMar>
            <w:vAlign w:val="center"/>
          </w:tcPr>
          <w:p>
            <w:pPr>
              <w:rPr>
                <w:rFonts w:hint="eastAsia" w:hAnsi="宋体" w:cs="宋体"/>
                <w:color w:val="auto"/>
                <w:highlight w:val="none"/>
              </w:rPr>
            </w:pPr>
          </w:p>
        </w:tc>
        <w:tc>
          <w:tcPr>
            <w:tcW w:w="51" w:type="dxa"/>
            <w:noWrap/>
            <w:tcMar>
              <w:top w:w="15" w:type="dxa"/>
              <w:left w:w="15" w:type="dxa"/>
              <w:right w:w="15" w:type="dxa"/>
            </w:tcMar>
            <w:vAlign w:val="center"/>
          </w:tcPr>
          <w:p>
            <w:pPr>
              <w:rPr>
                <w:rFonts w:hint="eastAsia" w:hAnsi="宋体" w:cs="宋体"/>
                <w:color w:val="auto"/>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建设项目：</w:t>
            </w:r>
          </w:p>
        </w:tc>
        <w:tc>
          <w:tcPr>
            <w:tcW w:w="240" w:type="dxa"/>
            <w:noWrap/>
            <w:tcMar>
              <w:top w:w="15" w:type="dxa"/>
              <w:left w:w="15" w:type="dxa"/>
              <w:right w:w="15" w:type="dxa"/>
            </w:tcMar>
            <w:vAlign w:val="center"/>
          </w:tcPr>
          <w:p>
            <w:pPr>
              <w:rPr>
                <w:rFonts w:hint="eastAsia" w:hAnsi="宋体" w:cs="宋体"/>
                <w:color w:val="auto"/>
                <w:sz w:val="28"/>
                <w:szCs w:val="28"/>
                <w:highlight w:val="none"/>
              </w:rPr>
            </w:pPr>
          </w:p>
        </w:tc>
        <w:tc>
          <w:tcPr>
            <w:tcW w:w="5242" w:type="dxa"/>
            <w:gridSpan w:val="5"/>
            <w:noWrap/>
            <w:tcMar>
              <w:top w:w="15" w:type="dxa"/>
              <w:left w:w="15" w:type="dxa"/>
              <w:right w:w="15" w:type="dxa"/>
            </w:tcMar>
            <w:vAlign w:val="center"/>
          </w:tcPr>
          <w:p>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pPr>
              <w:rPr>
                <w:rFonts w:hint="eastAsia" w:hAnsi="宋体" w:cs="宋体"/>
                <w:color w:val="auto"/>
                <w:sz w:val="28"/>
                <w:szCs w:val="28"/>
                <w:highlight w:val="none"/>
              </w:rPr>
            </w:pPr>
          </w:p>
        </w:tc>
        <w:tc>
          <w:tcPr>
            <w:tcW w:w="51" w:type="dxa"/>
            <w:noWrap/>
            <w:tcMar>
              <w:top w:w="15" w:type="dxa"/>
              <w:left w:w="15" w:type="dxa"/>
              <w:right w:w="15" w:type="dxa"/>
            </w:tcMar>
            <w:vAlign w:val="center"/>
          </w:tcPr>
          <w:p>
            <w:pPr>
              <w:rPr>
                <w:rFonts w:hint="eastAsia" w:hAnsi="宋体" w:cs="宋体"/>
                <w:color w:val="auto"/>
                <w:sz w:val="28"/>
                <w:szCs w:val="28"/>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委托单位：</w:t>
            </w:r>
          </w:p>
        </w:tc>
        <w:tc>
          <w:tcPr>
            <w:tcW w:w="240" w:type="dxa"/>
            <w:noWrap/>
            <w:tcMar>
              <w:top w:w="15" w:type="dxa"/>
              <w:left w:w="15" w:type="dxa"/>
              <w:right w:w="15" w:type="dxa"/>
            </w:tcMar>
            <w:vAlign w:val="center"/>
          </w:tcPr>
          <w:p>
            <w:pPr>
              <w:rPr>
                <w:rFonts w:hAnsi="宋体" w:cs="宋体"/>
                <w:color w:val="auto"/>
                <w:sz w:val="28"/>
                <w:szCs w:val="28"/>
                <w:highlight w:val="none"/>
              </w:rPr>
            </w:pPr>
            <w:r>
              <w:rPr>
                <w:rFonts w:hint="eastAsia" w:hAnsi="宋体" w:cs="宋体"/>
                <w:color w:val="auto"/>
                <w:sz w:val="28"/>
                <w:szCs w:val="28"/>
                <w:highlight w:val="none"/>
              </w:rPr>
              <w:t xml:space="preserve">                          </w:t>
            </w:r>
          </w:p>
        </w:tc>
        <w:tc>
          <w:tcPr>
            <w:tcW w:w="5242" w:type="dxa"/>
            <w:gridSpan w:val="5"/>
            <w:noWrap/>
            <w:tcMar>
              <w:top w:w="15" w:type="dxa"/>
              <w:left w:w="15" w:type="dxa"/>
              <w:right w:w="15" w:type="dxa"/>
            </w:tcMar>
            <w:vAlign w:val="center"/>
          </w:tcPr>
          <w:p>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pPr>
              <w:rPr>
                <w:rFonts w:hint="eastAsia" w:hAnsi="宋体" w:cs="宋体"/>
                <w:color w:val="auto"/>
                <w:sz w:val="28"/>
                <w:szCs w:val="28"/>
                <w:highlight w:val="none"/>
              </w:rPr>
            </w:pPr>
          </w:p>
        </w:tc>
        <w:tc>
          <w:tcPr>
            <w:tcW w:w="51" w:type="dxa"/>
            <w:noWrap/>
            <w:tcMar>
              <w:top w:w="15" w:type="dxa"/>
              <w:left w:w="15" w:type="dxa"/>
              <w:right w:w="15" w:type="dxa"/>
            </w:tcMar>
            <w:vAlign w:val="center"/>
          </w:tcPr>
          <w:p>
            <w:pPr>
              <w:rPr>
                <w:rFonts w:hint="eastAsia" w:hAnsi="宋体" w:cs="宋体"/>
                <w:color w:val="auto"/>
                <w:sz w:val="28"/>
                <w:szCs w:val="28"/>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造价咨询服务单位:</w:t>
            </w:r>
          </w:p>
        </w:tc>
        <w:tc>
          <w:tcPr>
            <w:tcW w:w="240" w:type="dxa"/>
            <w:noWrap/>
            <w:tcMar>
              <w:top w:w="15" w:type="dxa"/>
              <w:left w:w="15" w:type="dxa"/>
              <w:right w:w="15" w:type="dxa"/>
            </w:tcMar>
            <w:vAlign w:val="center"/>
          </w:tcPr>
          <w:p>
            <w:pPr>
              <w:ind w:firstLine="233"/>
              <w:rPr>
                <w:rFonts w:hAnsi="宋体" w:cs="宋体"/>
                <w:color w:val="auto"/>
                <w:sz w:val="28"/>
                <w:szCs w:val="28"/>
                <w:highlight w:val="none"/>
                <w:u w:val="single"/>
              </w:rPr>
            </w:pPr>
            <w:r>
              <w:rPr>
                <w:rFonts w:hint="eastAsia" w:hAnsi="宋体" w:cs="宋体"/>
                <w:color w:val="auto"/>
                <w:sz w:val="28"/>
                <w:szCs w:val="28"/>
                <w:highlight w:val="none"/>
              </w:rPr>
              <w:t xml:space="preserve">  </w:t>
            </w:r>
            <w:r>
              <w:rPr>
                <w:rFonts w:hint="eastAsia" w:hAnsi="宋体" w:cs="宋体"/>
                <w:color w:val="auto"/>
                <w:sz w:val="28"/>
                <w:szCs w:val="28"/>
                <w:highlight w:val="none"/>
                <w:u w:val="single"/>
              </w:rPr>
              <w:t xml:space="preserve">                                   </w:t>
            </w:r>
          </w:p>
        </w:tc>
        <w:tc>
          <w:tcPr>
            <w:tcW w:w="5242" w:type="dxa"/>
            <w:gridSpan w:val="5"/>
            <w:noWrap/>
            <w:tcMar>
              <w:top w:w="15" w:type="dxa"/>
              <w:left w:w="15" w:type="dxa"/>
              <w:right w:w="15" w:type="dxa"/>
            </w:tcMar>
            <w:vAlign w:val="center"/>
          </w:tcPr>
          <w:p>
            <w:pPr>
              <w:rPr>
                <w:rFonts w:hint="eastAsia" w:hAnsi="宋体" w:cs="宋体"/>
                <w:color w:val="auto"/>
                <w:sz w:val="28"/>
                <w:szCs w:val="28"/>
                <w:highlight w:val="none"/>
                <w:u w:val="singl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pPr>
              <w:rPr>
                <w:rFonts w:hint="eastAsia" w:hAnsi="宋体" w:cs="宋体"/>
                <w:color w:val="auto"/>
                <w:sz w:val="28"/>
                <w:szCs w:val="28"/>
                <w:highlight w:val="none"/>
              </w:rPr>
            </w:pPr>
          </w:p>
        </w:tc>
        <w:tc>
          <w:tcPr>
            <w:tcW w:w="51" w:type="dxa"/>
            <w:noWrap/>
            <w:tcMar>
              <w:top w:w="15" w:type="dxa"/>
              <w:left w:w="15" w:type="dxa"/>
              <w:right w:w="15" w:type="dxa"/>
            </w:tcMar>
            <w:vAlign w:val="center"/>
          </w:tcPr>
          <w:p>
            <w:pPr>
              <w:rPr>
                <w:rFonts w:hint="eastAsia" w:hAnsi="宋体" w:cs="宋体"/>
                <w:color w:val="auto"/>
                <w:sz w:val="28"/>
                <w:szCs w:val="28"/>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造价咨询专业：</w:t>
            </w:r>
          </w:p>
        </w:tc>
        <w:tc>
          <w:tcPr>
            <w:tcW w:w="240" w:type="dxa"/>
            <w:noWrap/>
            <w:tcMar>
              <w:top w:w="15" w:type="dxa"/>
              <w:left w:w="15" w:type="dxa"/>
              <w:right w:w="15" w:type="dxa"/>
            </w:tcMar>
            <w:vAlign w:val="center"/>
          </w:tcPr>
          <w:p>
            <w:pPr>
              <w:rPr>
                <w:rFonts w:hint="eastAsia" w:hAnsi="宋体" w:cs="宋体"/>
                <w:color w:val="auto"/>
                <w:sz w:val="20"/>
                <w:szCs w:val="20"/>
                <w:highlight w:val="none"/>
              </w:rPr>
            </w:pPr>
          </w:p>
        </w:tc>
        <w:tc>
          <w:tcPr>
            <w:tcW w:w="1449"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sym w:font="Wingdings 2" w:char="00A3"/>
            </w:r>
            <w:r>
              <w:rPr>
                <w:rFonts w:hint="eastAsia" w:hAnsi="宋体" w:cs="宋体"/>
                <w:color w:val="auto"/>
                <w:sz w:val="20"/>
                <w:szCs w:val="20"/>
                <w:highlight w:val="none"/>
                <w:lang w:bidi="ar"/>
              </w:rPr>
              <w:t>土建</w:t>
            </w:r>
          </w:p>
        </w:tc>
        <w:tc>
          <w:tcPr>
            <w:tcW w:w="71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□安装</w:t>
            </w:r>
          </w:p>
        </w:tc>
        <w:tc>
          <w:tcPr>
            <w:tcW w:w="135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□市政</w:t>
            </w:r>
          </w:p>
        </w:tc>
        <w:tc>
          <w:tcPr>
            <w:tcW w:w="65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□装饰</w:t>
            </w:r>
          </w:p>
        </w:tc>
        <w:tc>
          <w:tcPr>
            <w:tcW w:w="1080"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□水利</w:t>
            </w:r>
          </w:p>
        </w:tc>
        <w:tc>
          <w:tcPr>
            <w:tcW w:w="1063"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□园林绿化</w:t>
            </w:r>
          </w:p>
        </w:tc>
        <w:tc>
          <w:tcPr>
            <w:tcW w:w="51" w:type="dxa"/>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sz w:val="20"/>
                <w:szCs w:val="20"/>
                <w:highlight w:val="none"/>
              </w:rPr>
            </w:pPr>
          </w:p>
        </w:tc>
        <w:tc>
          <w:tcPr>
            <w:tcW w:w="240" w:type="dxa"/>
            <w:noWrap/>
            <w:tcMar>
              <w:top w:w="15" w:type="dxa"/>
              <w:left w:w="15" w:type="dxa"/>
              <w:right w:w="15" w:type="dxa"/>
            </w:tcMar>
            <w:vAlign w:val="center"/>
          </w:tcPr>
          <w:p>
            <w:pPr>
              <w:rPr>
                <w:rFonts w:hint="eastAsia" w:hAnsi="宋体" w:cs="宋体"/>
                <w:color w:val="auto"/>
                <w:sz w:val="20"/>
                <w:szCs w:val="20"/>
                <w:highlight w:val="none"/>
              </w:rPr>
            </w:pPr>
          </w:p>
        </w:tc>
        <w:tc>
          <w:tcPr>
            <w:tcW w:w="1449"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□港口</w:t>
            </w:r>
          </w:p>
        </w:tc>
        <w:tc>
          <w:tcPr>
            <w:tcW w:w="71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□公路</w:t>
            </w:r>
          </w:p>
        </w:tc>
        <w:tc>
          <w:tcPr>
            <w:tcW w:w="3082" w:type="dxa"/>
            <w:gridSpan w:val="3"/>
            <w:noWrap/>
            <w:tcMar>
              <w:top w:w="15" w:type="dxa"/>
              <w:left w:w="15" w:type="dxa"/>
              <w:right w:w="15" w:type="dxa"/>
            </w:tcMar>
            <w:vAlign w:val="center"/>
          </w:tcPr>
          <w:p>
            <w:pPr>
              <w:rPr>
                <w:rFonts w:hint="eastAsia" w:hAnsi="宋体" w:cs="宋体"/>
                <w:color w:val="auto"/>
                <w:sz w:val="20"/>
                <w:szCs w:val="20"/>
                <w:highlight w:val="none"/>
              </w:rPr>
            </w:pPr>
            <w:r>
              <w:rPr>
                <w:rFonts w:hint="eastAsia" w:hAnsi="宋体" w:cs="宋体"/>
                <w:color w:val="auto"/>
                <w:sz w:val="20"/>
                <w:szCs w:val="20"/>
                <w:highlight w:val="none"/>
                <w:lang w:bidi="ar"/>
              </w:rPr>
              <w:t>□甲供材料及设备</w:t>
            </w:r>
          </w:p>
        </w:tc>
        <w:tc>
          <w:tcPr>
            <w:tcW w:w="1063"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51" w:type="dxa"/>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造价咨询类型：</w:t>
            </w:r>
          </w:p>
        </w:tc>
        <w:tc>
          <w:tcPr>
            <w:tcW w:w="240" w:type="dxa"/>
            <w:noWrap/>
            <w:tcMar>
              <w:top w:w="15" w:type="dxa"/>
              <w:left w:w="15" w:type="dxa"/>
              <w:right w:w="15" w:type="dxa"/>
            </w:tcMar>
            <w:vAlign w:val="center"/>
          </w:tcPr>
          <w:p>
            <w:pPr>
              <w:rPr>
                <w:rFonts w:hint="eastAsia" w:hAnsi="宋体" w:cs="宋体"/>
                <w:color w:val="auto"/>
                <w:sz w:val="20"/>
                <w:szCs w:val="20"/>
                <w:highlight w:val="none"/>
              </w:rPr>
            </w:pPr>
          </w:p>
        </w:tc>
        <w:tc>
          <w:tcPr>
            <w:tcW w:w="1449"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□概算</w:t>
            </w:r>
          </w:p>
        </w:tc>
        <w:tc>
          <w:tcPr>
            <w:tcW w:w="71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□预算</w:t>
            </w:r>
          </w:p>
        </w:tc>
        <w:tc>
          <w:tcPr>
            <w:tcW w:w="135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□招标控制价</w:t>
            </w:r>
          </w:p>
        </w:tc>
        <w:tc>
          <w:tcPr>
            <w:tcW w:w="651" w:type="dxa"/>
            <w:noWrap/>
            <w:tcMar>
              <w:top w:w="15" w:type="dxa"/>
              <w:left w:w="15" w:type="dxa"/>
              <w:right w:w="15" w:type="dxa"/>
            </w:tcMar>
            <w:vAlign w:val="center"/>
          </w:tcPr>
          <w:p>
            <w:pPr>
              <w:rPr>
                <w:rFonts w:hint="eastAsia" w:hAnsi="宋体" w:cs="宋体"/>
                <w:color w:val="auto"/>
                <w:sz w:val="20"/>
                <w:szCs w:val="20"/>
                <w:highlight w:val="none"/>
              </w:rPr>
            </w:pPr>
          </w:p>
        </w:tc>
        <w:tc>
          <w:tcPr>
            <w:tcW w:w="1080"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□进度款</w:t>
            </w:r>
          </w:p>
        </w:tc>
        <w:tc>
          <w:tcPr>
            <w:tcW w:w="1063" w:type="dxa"/>
            <w:noWrap/>
            <w:tcMar>
              <w:top w:w="15" w:type="dxa"/>
              <w:left w:w="15" w:type="dxa"/>
              <w:right w:w="15" w:type="dxa"/>
            </w:tcMar>
            <w:vAlign w:val="center"/>
          </w:tcPr>
          <w:p>
            <w:pPr>
              <w:rPr>
                <w:rFonts w:hint="eastAsia" w:hAnsi="宋体" w:cs="宋体"/>
                <w:color w:val="auto"/>
                <w:sz w:val="20"/>
                <w:szCs w:val="20"/>
                <w:highlight w:val="none"/>
              </w:rPr>
            </w:pPr>
          </w:p>
        </w:tc>
        <w:tc>
          <w:tcPr>
            <w:tcW w:w="51" w:type="dxa"/>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88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sz w:val="20"/>
                <w:szCs w:val="20"/>
                <w:highlight w:val="none"/>
              </w:rPr>
            </w:pPr>
          </w:p>
        </w:tc>
        <w:tc>
          <w:tcPr>
            <w:tcW w:w="240" w:type="dxa"/>
            <w:noWrap/>
            <w:tcMar>
              <w:top w:w="15" w:type="dxa"/>
              <w:left w:w="15" w:type="dxa"/>
              <w:right w:w="15" w:type="dxa"/>
            </w:tcMar>
            <w:vAlign w:val="center"/>
          </w:tcPr>
          <w:p>
            <w:pPr>
              <w:rPr>
                <w:rFonts w:hint="eastAsia" w:hAnsi="宋体" w:cs="宋体"/>
                <w:color w:val="auto"/>
                <w:sz w:val="20"/>
                <w:szCs w:val="20"/>
                <w:highlight w:val="none"/>
              </w:rPr>
            </w:pPr>
          </w:p>
        </w:tc>
        <w:tc>
          <w:tcPr>
            <w:tcW w:w="1449"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□拆迁补偿</w:t>
            </w:r>
          </w:p>
        </w:tc>
        <w:tc>
          <w:tcPr>
            <w:tcW w:w="711" w:type="dxa"/>
            <w:noWrap/>
            <w:tcMar>
              <w:top w:w="15" w:type="dxa"/>
              <w:left w:w="15" w:type="dxa"/>
              <w:right w:w="15" w:type="dxa"/>
            </w:tcMar>
            <w:vAlign w:val="center"/>
          </w:tcPr>
          <w:p>
            <w:pPr>
              <w:rPr>
                <w:rFonts w:hint="eastAsia" w:hAnsi="宋体" w:cs="宋体"/>
                <w:color w:val="auto"/>
                <w:sz w:val="20"/>
                <w:szCs w:val="20"/>
                <w:highlight w:val="none"/>
              </w:rPr>
            </w:pPr>
          </w:p>
        </w:tc>
        <w:tc>
          <w:tcPr>
            <w:tcW w:w="1351"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651" w:type="dxa"/>
            <w:noWrap/>
            <w:tcMar>
              <w:top w:w="15" w:type="dxa"/>
              <w:left w:w="15" w:type="dxa"/>
              <w:right w:w="15" w:type="dxa"/>
            </w:tcMar>
            <w:vAlign w:val="center"/>
          </w:tcPr>
          <w:p>
            <w:pPr>
              <w:rPr>
                <w:rFonts w:hint="eastAsia" w:hAnsi="宋体" w:cs="宋体"/>
                <w:color w:val="auto"/>
                <w:sz w:val="20"/>
                <w:szCs w:val="20"/>
                <w:highlight w:val="none"/>
              </w:rPr>
            </w:pPr>
          </w:p>
        </w:tc>
        <w:tc>
          <w:tcPr>
            <w:tcW w:w="1080" w:type="dxa"/>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□工程结算</w:t>
            </w:r>
          </w:p>
        </w:tc>
        <w:tc>
          <w:tcPr>
            <w:tcW w:w="1063" w:type="dxa"/>
            <w:noWrap/>
            <w:tcMar>
              <w:top w:w="15" w:type="dxa"/>
              <w:left w:w="15" w:type="dxa"/>
              <w:right w:w="15" w:type="dxa"/>
            </w:tcMar>
            <w:vAlign w:val="center"/>
          </w:tcPr>
          <w:p>
            <w:pPr>
              <w:rPr>
                <w:rFonts w:hint="eastAsia" w:hAnsi="宋体" w:cs="宋体"/>
                <w:color w:val="auto"/>
                <w:sz w:val="20"/>
                <w:szCs w:val="20"/>
                <w:highlight w:val="none"/>
              </w:rPr>
            </w:pPr>
          </w:p>
        </w:tc>
        <w:tc>
          <w:tcPr>
            <w:tcW w:w="51" w:type="dxa"/>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37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sz w:val="28"/>
                <w:szCs w:val="28"/>
                <w:highlight w:val="none"/>
              </w:rPr>
            </w:pPr>
          </w:p>
        </w:tc>
        <w:tc>
          <w:tcPr>
            <w:tcW w:w="240" w:type="dxa"/>
            <w:noWrap/>
            <w:tcMar>
              <w:top w:w="15" w:type="dxa"/>
              <w:left w:w="15" w:type="dxa"/>
              <w:right w:w="15" w:type="dxa"/>
            </w:tcMar>
            <w:vAlign w:val="center"/>
          </w:tcPr>
          <w:p>
            <w:pPr>
              <w:rPr>
                <w:rFonts w:hint="eastAsia" w:hAnsi="宋体" w:cs="宋体"/>
                <w:color w:val="auto"/>
                <w:sz w:val="28"/>
                <w:szCs w:val="28"/>
                <w:highlight w:val="none"/>
              </w:rPr>
            </w:pPr>
          </w:p>
        </w:tc>
        <w:tc>
          <w:tcPr>
            <w:tcW w:w="1449" w:type="dxa"/>
            <w:noWrap/>
            <w:tcMar>
              <w:top w:w="15" w:type="dxa"/>
              <w:left w:w="15" w:type="dxa"/>
              <w:right w:w="15" w:type="dxa"/>
            </w:tcMar>
            <w:vAlign w:val="center"/>
          </w:tcPr>
          <w:p>
            <w:pPr>
              <w:rPr>
                <w:rFonts w:hint="eastAsia" w:hAnsi="宋体" w:cs="宋体"/>
                <w:color w:val="auto"/>
                <w:sz w:val="28"/>
                <w:szCs w:val="28"/>
                <w:highlight w:val="none"/>
              </w:rPr>
            </w:pPr>
          </w:p>
        </w:tc>
        <w:tc>
          <w:tcPr>
            <w:tcW w:w="711" w:type="dxa"/>
            <w:noWrap/>
            <w:tcMar>
              <w:top w:w="15" w:type="dxa"/>
              <w:left w:w="15" w:type="dxa"/>
              <w:right w:w="15" w:type="dxa"/>
            </w:tcMar>
            <w:vAlign w:val="center"/>
          </w:tcPr>
          <w:p>
            <w:pPr>
              <w:rPr>
                <w:rFonts w:hint="eastAsia" w:hAnsi="宋体" w:cs="宋体"/>
                <w:color w:val="auto"/>
                <w:sz w:val="28"/>
                <w:szCs w:val="28"/>
                <w:highlight w:val="none"/>
              </w:rPr>
            </w:pPr>
          </w:p>
        </w:tc>
        <w:tc>
          <w:tcPr>
            <w:tcW w:w="1351" w:type="dxa"/>
            <w:noWrap/>
            <w:tcMar>
              <w:top w:w="15" w:type="dxa"/>
              <w:left w:w="15" w:type="dxa"/>
              <w:right w:w="15" w:type="dxa"/>
            </w:tcMar>
            <w:vAlign w:val="center"/>
          </w:tcPr>
          <w:p>
            <w:pPr>
              <w:rPr>
                <w:rFonts w:hint="eastAsia" w:hAnsi="宋体" w:cs="宋体"/>
                <w:color w:val="auto"/>
                <w:sz w:val="28"/>
                <w:szCs w:val="28"/>
                <w:highlight w:val="none"/>
              </w:rPr>
            </w:pPr>
          </w:p>
        </w:tc>
        <w:tc>
          <w:tcPr>
            <w:tcW w:w="651" w:type="dxa"/>
            <w:noWrap/>
            <w:tcMar>
              <w:top w:w="15" w:type="dxa"/>
              <w:left w:w="15" w:type="dxa"/>
              <w:right w:w="15" w:type="dxa"/>
            </w:tcMar>
            <w:vAlign w:val="center"/>
          </w:tcPr>
          <w:p>
            <w:pPr>
              <w:rPr>
                <w:rFonts w:hint="eastAsia" w:hAnsi="宋体" w:cs="宋体"/>
                <w:color w:val="auto"/>
                <w:sz w:val="28"/>
                <w:szCs w:val="28"/>
                <w:highlight w:val="none"/>
              </w:rPr>
            </w:pPr>
          </w:p>
        </w:tc>
        <w:tc>
          <w:tcPr>
            <w:tcW w:w="1080" w:type="dxa"/>
            <w:noWrap/>
            <w:tcMar>
              <w:top w:w="15" w:type="dxa"/>
              <w:left w:w="15" w:type="dxa"/>
              <w:right w:w="15" w:type="dxa"/>
            </w:tcMar>
            <w:vAlign w:val="center"/>
          </w:tcPr>
          <w:p>
            <w:pPr>
              <w:rPr>
                <w:rFonts w:hint="eastAsia" w:hAnsi="宋体" w:cs="宋体"/>
                <w:color w:val="auto"/>
                <w:sz w:val="28"/>
                <w:szCs w:val="28"/>
                <w:highlight w:val="none"/>
              </w:rPr>
            </w:pPr>
          </w:p>
        </w:tc>
        <w:tc>
          <w:tcPr>
            <w:tcW w:w="1063" w:type="dxa"/>
            <w:noWrap/>
            <w:tcMar>
              <w:top w:w="15" w:type="dxa"/>
              <w:left w:w="15" w:type="dxa"/>
              <w:right w:w="15" w:type="dxa"/>
            </w:tcMar>
            <w:vAlign w:val="center"/>
          </w:tcPr>
          <w:p>
            <w:pPr>
              <w:rPr>
                <w:rFonts w:hint="eastAsia" w:hAnsi="宋体" w:cs="宋体"/>
                <w:color w:val="auto"/>
                <w:sz w:val="28"/>
                <w:szCs w:val="28"/>
                <w:highlight w:val="none"/>
              </w:rPr>
            </w:pPr>
          </w:p>
        </w:tc>
        <w:tc>
          <w:tcPr>
            <w:tcW w:w="51" w:type="dxa"/>
            <w:noWrap/>
            <w:tcMar>
              <w:top w:w="15" w:type="dxa"/>
              <w:left w:w="15" w:type="dxa"/>
              <w:right w:w="15" w:type="dxa"/>
            </w:tcMar>
            <w:vAlign w:val="center"/>
          </w:tcPr>
          <w:p>
            <w:pPr>
              <w:rPr>
                <w:rFonts w:hint="eastAsia" w:hAnsi="宋体" w:cs="宋体"/>
                <w:color w:val="auto"/>
                <w:sz w:val="28"/>
                <w:szCs w:val="28"/>
                <w:highlight w:val="none"/>
              </w:rPr>
            </w:pPr>
          </w:p>
        </w:tc>
      </w:tr>
      <w:tr>
        <w:tblPrEx>
          <w:tblCellMar>
            <w:top w:w="0" w:type="dxa"/>
            <w:left w:w="0" w:type="dxa"/>
            <w:bottom w:w="0" w:type="dxa"/>
            <w:right w:w="0" w:type="dxa"/>
          </w:tblCellMar>
        </w:tblPrEx>
        <w:trPr>
          <w:trHeight w:val="375" w:hRule="atLeast"/>
        </w:trPr>
        <w:tc>
          <w:tcPr>
            <w:tcW w:w="411" w:type="dxa"/>
            <w:noWrap/>
            <w:tcMar>
              <w:top w:w="15" w:type="dxa"/>
              <w:left w:w="15" w:type="dxa"/>
              <w:right w:w="15" w:type="dxa"/>
            </w:tcMar>
            <w:vAlign w:val="center"/>
          </w:tcPr>
          <w:p>
            <w:pPr>
              <w:rPr>
                <w:rFonts w:hint="eastAsia" w:hAnsi="宋体" w:cs="宋体"/>
                <w:color w:val="auto"/>
                <w:highlight w:val="none"/>
              </w:rPr>
            </w:pPr>
          </w:p>
        </w:tc>
        <w:tc>
          <w:tcPr>
            <w:tcW w:w="2662" w:type="dxa"/>
            <w:noWrap/>
            <w:tcMar>
              <w:top w:w="15" w:type="dxa"/>
              <w:left w:w="15" w:type="dxa"/>
              <w:right w:w="15" w:type="dxa"/>
            </w:tcMar>
            <w:vAlign w:val="center"/>
          </w:tcPr>
          <w:p>
            <w:pPr>
              <w:rPr>
                <w:rFonts w:hint="eastAsia" w:hAnsi="宋体" w:cs="宋体"/>
                <w:color w:val="auto"/>
                <w:sz w:val="28"/>
                <w:szCs w:val="28"/>
                <w:highlight w:val="none"/>
              </w:rPr>
            </w:pPr>
          </w:p>
        </w:tc>
        <w:tc>
          <w:tcPr>
            <w:tcW w:w="240" w:type="dxa"/>
            <w:noWrap/>
            <w:tcMar>
              <w:top w:w="15" w:type="dxa"/>
              <w:left w:w="15" w:type="dxa"/>
              <w:right w:w="15" w:type="dxa"/>
            </w:tcMar>
            <w:vAlign w:val="center"/>
          </w:tcPr>
          <w:p>
            <w:pPr>
              <w:rPr>
                <w:rFonts w:hint="eastAsia" w:hAnsi="宋体" w:cs="宋体"/>
                <w:color w:val="auto"/>
                <w:sz w:val="28"/>
                <w:szCs w:val="28"/>
                <w:highlight w:val="none"/>
              </w:rPr>
            </w:pPr>
          </w:p>
        </w:tc>
        <w:tc>
          <w:tcPr>
            <w:tcW w:w="1449" w:type="dxa"/>
            <w:noWrap/>
            <w:tcMar>
              <w:top w:w="15" w:type="dxa"/>
              <w:left w:w="15" w:type="dxa"/>
              <w:right w:w="15" w:type="dxa"/>
            </w:tcMar>
            <w:vAlign w:val="center"/>
          </w:tcPr>
          <w:p>
            <w:pPr>
              <w:rPr>
                <w:rFonts w:hint="eastAsia" w:hAnsi="宋体" w:cs="宋体"/>
                <w:color w:val="auto"/>
                <w:sz w:val="28"/>
                <w:szCs w:val="28"/>
                <w:highlight w:val="none"/>
              </w:rPr>
            </w:pPr>
          </w:p>
        </w:tc>
        <w:tc>
          <w:tcPr>
            <w:tcW w:w="711" w:type="dxa"/>
            <w:noWrap/>
            <w:tcMar>
              <w:top w:w="15" w:type="dxa"/>
              <w:left w:w="15" w:type="dxa"/>
              <w:right w:w="15" w:type="dxa"/>
            </w:tcMar>
            <w:vAlign w:val="center"/>
          </w:tcPr>
          <w:p>
            <w:pPr>
              <w:rPr>
                <w:rFonts w:hint="eastAsia" w:hAnsi="宋体" w:cs="宋体"/>
                <w:color w:val="auto"/>
                <w:sz w:val="28"/>
                <w:szCs w:val="28"/>
                <w:highlight w:val="none"/>
              </w:rPr>
            </w:pPr>
          </w:p>
        </w:tc>
        <w:tc>
          <w:tcPr>
            <w:tcW w:w="1351" w:type="dxa"/>
            <w:noWrap/>
            <w:tcMar>
              <w:top w:w="15" w:type="dxa"/>
              <w:left w:w="15" w:type="dxa"/>
              <w:right w:w="15" w:type="dxa"/>
            </w:tcMar>
            <w:vAlign w:val="center"/>
          </w:tcPr>
          <w:p>
            <w:pPr>
              <w:rPr>
                <w:rFonts w:hint="eastAsia" w:hAnsi="宋体" w:cs="宋体"/>
                <w:color w:val="auto"/>
                <w:sz w:val="28"/>
                <w:szCs w:val="28"/>
                <w:highlight w:val="none"/>
              </w:rPr>
            </w:pPr>
          </w:p>
        </w:tc>
        <w:tc>
          <w:tcPr>
            <w:tcW w:w="651" w:type="dxa"/>
            <w:noWrap/>
            <w:tcMar>
              <w:top w:w="15" w:type="dxa"/>
              <w:left w:w="15" w:type="dxa"/>
              <w:right w:w="15" w:type="dxa"/>
            </w:tcMar>
            <w:vAlign w:val="center"/>
          </w:tcPr>
          <w:p>
            <w:pPr>
              <w:rPr>
                <w:rFonts w:hint="eastAsia" w:hAnsi="宋体" w:cs="宋体"/>
                <w:color w:val="auto"/>
                <w:sz w:val="28"/>
                <w:szCs w:val="28"/>
                <w:highlight w:val="none"/>
              </w:rPr>
            </w:pPr>
          </w:p>
        </w:tc>
        <w:tc>
          <w:tcPr>
            <w:tcW w:w="1080" w:type="dxa"/>
            <w:noWrap/>
            <w:tcMar>
              <w:top w:w="15" w:type="dxa"/>
              <w:left w:w="15" w:type="dxa"/>
              <w:right w:w="15" w:type="dxa"/>
            </w:tcMar>
            <w:vAlign w:val="center"/>
          </w:tcPr>
          <w:p>
            <w:pPr>
              <w:rPr>
                <w:rFonts w:hint="eastAsia" w:hAnsi="宋体" w:cs="宋体"/>
                <w:color w:val="auto"/>
                <w:sz w:val="28"/>
                <w:szCs w:val="28"/>
                <w:highlight w:val="none"/>
              </w:rPr>
            </w:pPr>
          </w:p>
        </w:tc>
        <w:tc>
          <w:tcPr>
            <w:tcW w:w="1063" w:type="dxa"/>
            <w:noWrap/>
            <w:tcMar>
              <w:top w:w="15" w:type="dxa"/>
              <w:left w:w="15" w:type="dxa"/>
              <w:right w:w="15" w:type="dxa"/>
            </w:tcMar>
            <w:vAlign w:val="center"/>
          </w:tcPr>
          <w:p>
            <w:pPr>
              <w:rPr>
                <w:rFonts w:hint="eastAsia" w:hAnsi="宋体" w:cs="宋体"/>
                <w:color w:val="auto"/>
                <w:sz w:val="28"/>
                <w:szCs w:val="28"/>
                <w:highlight w:val="none"/>
              </w:rPr>
            </w:pPr>
          </w:p>
        </w:tc>
        <w:tc>
          <w:tcPr>
            <w:tcW w:w="51" w:type="dxa"/>
            <w:noWrap/>
            <w:tcMar>
              <w:top w:w="15" w:type="dxa"/>
              <w:left w:w="15" w:type="dxa"/>
              <w:right w:w="15" w:type="dxa"/>
            </w:tcMar>
            <w:vAlign w:val="center"/>
          </w:tcPr>
          <w:p>
            <w:pPr>
              <w:rPr>
                <w:rFonts w:hint="eastAsia" w:hAnsi="宋体" w:cs="宋体"/>
                <w:color w:val="auto"/>
                <w:sz w:val="28"/>
                <w:szCs w:val="28"/>
                <w:highlight w:val="none"/>
              </w:rPr>
            </w:pPr>
          </w:p>
        </w:tc>
      </w:tr>
      <w:tr>
        <w:tblPrEx>
          <w:tblCellMar>
            <w:top w:w="0" w:type="dxa"/>
            <w:left w:w="0" w:type="dxa"/>
            <w:bottom w:w="0" w:type="dxa"/>
            <w:right w:w="0" w:type="dxa"/>
          </w:tblCellMar>
        </w:tblPrEx>
        <w:trPr>
          <w:trHeight w:val="555" w:hRule="atLeast"/>
        </w:trPr>
        <w:tc>
          <w:tcPr>
            <w:tcW w:w="9669" w:type="dxa"/>
            <w:gridSpan w:val="10"/>
            <w:noWrap/>
            <w:tcMar>
              <w:top w:w="15" w:type="dxa"/>
              <w:left w:w="15" w:type="dxa"/>
              <w:right w:w="15" w:type="dxa"/>
            </w:tcMar>
            <w:vAlign w:val="center"/>
          </w:tcPr>
          <w:p>
            <w:pPr>
              <w:widowControl/>
              <w:jc w:val="center"/>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年    月    日</w:t>
            </w:r>
          </w:p>
        </w:tc>
      </w:tr>
    </w:tbl>
    <w:p>
      <w:pPr>
        <w:tabs>
          <w:tab w:val="left" w:pos="5595"/>
        </w:tabs>
        <w:jc w:val="center"/>
        <w:rPr>
          <w:rFonts w:hint="eastAsia" w:hAnsi="宋体"/>
          <w:color w:val="auto"/>
          <w:sz w:val="36"/>
          <w:szCs w:val="36"/>
          <w:highlight w:val="none"/>
        </w:rPr>
      </w:pPr>
      <w:r>
        <w:rPr>
          <w:rFonts w:hint="eastAsia" w:hAnsi="宋体"/>
          <w:color w:val="auto"/>
          <w:sz w:val="36"/>
          <w:szCs w:val="36"/>
          <w:highlight w:val="none"/>
        </w:rPr>
        <w:drawing>
          <wp:inline distT="0" distB="0" distL="114300" distR="114300">
            <wp:extent cx="6117590" cy="8651240"/>
            <wp:effectExtent l="0" t="0" r="16510" b="16510"/>
            <wp:docPr id="3"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1"/>
                    <pic:cNvPicPr>
                      <a:picLocks noChangeAspect="1"/>
                    </pic:cNvPicPr>
                  </pic:nvPicPr>
                  <pic:blipFill>
                    <a:blip r:embed="rId18"/>
                    <a:stretch>
                      <a:fillRect/>
                    </a:stretch>
                  </pic:blipFill>
                  <pic:spPr>
                    <a:xfrm>
                      <a:off x="0" y="0"/>
                      <a:ext cx="6117590" cy="8651240"/>
                    </a:xfrm>
                    <a:prstGeom prst="rect">
                      <a:avLst/>
                    </a:prstGeom>
                    <a:noFill/>
                    <a:ln>
                      <a:noFill/>
                    </a:ln>
                  </pic:spPr>
                </pic:pic>
              </a:graphicData>
            </a:graphic>
          </wp:inline>
        </w:drawing>
      </w:r>
    </w:p>
    <w:tbl>
      <w:tblPr>
        <w:tblStyle w:val="49"/>
        <w:tblW w:w="9990" w:type="dxa"/>
        <w:tblInd w:w="0" w:type="dxa"/>
        <w:tblLayout w:type="autofit"/>
        <w:tblCellMar>
          <w:top w:w="0" w:type="dxa"/>
          <w:left w:w="0" w:type="dxa"/>
          <w:bottom w:w="0" w:type="dxa"/>
          <w:right w:w="0" w:type="dxa"/>
        </w:tblCellMar>
      </w:tblPr>
      <w:tblGrid>
        <w:gridCol w:w="675"/>
        <w:gridCol w:w="60"/>
        <w:gridCol w:w="695"/>
        <w:gridCol w:w="40"/>
        <w:gridCol w:w="495"/>
        <w:gridCol w:w="585"/>
        <w:gridCol w:w="327"/>
        <w:gridCol w:w="183"/>
        <w:gridCol w:w="45"/>
        <w:gridCol w:w="1065"/>
        <w:gridCol w:w="435"/>
        <w:gridCol w:w="14"/>
        <w:gridCol w:w="781"/>
        <w:gridCol w:w="315"/>
        <w:gridCol w:w="300"/>
        <w:gridCol w:w="346"/>
        <w:gridCol w:w="1004"/>
        <w:gridCol w:w="210"/>
        <w:gridCol w:w="120"/>
        <w:gridCol w:w="541"/>
        <w:gridCol w:w="164"/>
        <w:gridCol w:w="1224"/>
        <w:gridCol w:w="306"/>
        <w:gridCol w:w="60"/>
      </w:tblGrid>
      <w:tr>
        <w:tblPrEx>
          <w:tblCellMar>
            <w:top w:w="0" w:type="dxa"/>
            <w:left w:w="0" w:type="dxa"/>
            <w:bottom w:w="0" w:type="dxa"/>
            <w:right w:w="0" w:type="dxa"/>
          </w:tblCellMar>
        </w:tblPrEx>
        <w:trPr>
          <w:trHeight w:val="285" w:hRule="atLeast"/>
        </w:trPr>
        <w:tc>
          <w:tcPr>
            <w:tcW w:w="675" w:type="dxa"/>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290" w:type="dxa"/>
            <w:gridSpan w:val="4"/>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095" w:type="dxa"/>
            <w:gridSpan w:val="3"/>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545"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110"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650"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035" w:type="dxa"/>
            <w:gridSpan w:val="4"/>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590" w:type="dxa"/>
            <w:gridSpan w:val="3"/>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r>
      <w:tr>
        <w:tblPrEx>
          <w:tblCellMar>
            <w:top w:w="0" w:type="dxa"/>
            <w:left w:w="0" w:type="dxa"/>
            <w:bottom w:w="0" w:type="dxa"/>
            <w:right w:w="0" w:type="dxa"/>
          </w:tblCellMar>
        </w:tblPrEx>
        <w:trPr>
          <w:trHeight w:val="540" w:hRule="atLeast"/>
        </w:trPr>
        <w:tc>
          <w:tcPr>
            <w:tcW w:w="9990" w:type="dxa"/>
            <w:gridSpan w:val="24"/>
            <w:tcBorders>
              <w:top w:val="nil"/>
              <w:left w:val="nil"/>
              <w:bottom w:val="nil"/>
              <w:right w:val="nil"/>
            </w:tcBorders>
            <w:noWrap/>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项目工作流程表（一）</w:t>
            </w:r>
          </w:p>
        </w:tc>
      </w:tr>
      <w:tr>
        <w:tblPrEx>
          <w:tblCellMar>
            <w:top w:w="0" w:type="dxa"/>
            <w:left w:w="0" w:type="dxa"/>
            <w:bottom w:w="0" w:type="dxa"/>
            <w:right w:w="0" w:type="dxa"/>
          </w:tblCellMar>
        </w:tblPrEx>
        <w:trPr>
          <w:trHeight w:val="540" w:hRule="atLeast"/>
        </w:trPr>
        <w:tc>
          <w:tcPr>
            <w:tcW w:w="1965" w:type="dxa"/>
            <w:gridSpan w:val="5"/>
            <w:tcBorders>
              <w:top w:val="nil"/>
              <w:left w:val="nil"/>
              <w:bottom w:val="single" w:color="000000" w:sz="4" w:space="0"/>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项目接收编号：</w:t>
            </w:r>
          </w:p>
        </w:tc>
        <w:tc>
          <w:tcPr>
            <w:tcW w:w="1095" w:type="dxa"/>
            <w:gridSpan w:val="3"/>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545" w:type="dxa"/>
            <w:gridSpan w:val="3"/>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110" w:type="dxa"/>
            <w:gridSpan w:val="3"/>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650" w:type="dxa"/>
            <w:gridSpan w:val="3"/>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035" w:type="dxa"/>
            <w:gridSpan w:val="4"/>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590" w:type="dxa"/>
            <w:gridSpan w:val="3"/>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trHeight w:val="54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中介接收委托阶段</w:t>
            </w:r>
          </w:p>
        </w:tc>
        <w:tc>
          <w:tcPr>
            <w:tcW w:w="238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收到咨询服务合同</w:t>
            </w:r>
          </w:p>
        </w:tc>
        <w:tc>
          <w:tcPr>
            <w:tcW w:w="15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8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交接项目资料时间</w:t>
            </w:r>
          </w:p>
        </w:tc>
        <w:tc>
          <w:tcPr>
            <w:tcW w:w="15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8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1545"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276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资料接收清单索引号</w:t>
            </w:r>
          </w:p>
        </w:tc>
        <w:tc>
          <w:tcPr>
            <w:tcW w:w="26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73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用户需求</w:t>
            </w: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要求完成   时间</w:t>
            </w:r>
          </w:p>
        </w:tc>
        <w:tc>
          <w:tcPr>
            <w:tcW w:w="693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321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咨询内容     及范围</w:t>
            </w:r>
          </w:p>
        </w:tc>
        <w:tc>
          <w:tcPr>
            <w:tcW w:w="693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trHeight w:val="408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工程概况及其它应说明的事项</w:t>
            </w:r>
          </w:p>
        </w:tc>
        <w:tc>
          <w:tcPr>
            <w:tcW w:w="6930" w:type="dxa"/>
            <w:gridSpan w:val="1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w:t>
            </w: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咨询方</w:t>
            </w: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290"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0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b/>
                <w:color w:val="auto"/>
                <w:sz w:val="20"/>
                <w:szCs w:val="20"/>
                <w:highlight w:val="none"/>
              </w:rPr>
            </w:pPr>
          </w:p>
        </w:tc>
        <w:tc>
          <w:tcPr>
            <w:tcW w:w="1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trHeight w:val="285" w:hRule="atLeast"/>
        </w:trPr>
        <w:tc>
          <w:tcPr>
            <w:tcW w:w="675" w:type="dxa"/>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290" w:type="dxa"/>
            <w:gridSpan w:val="4"/>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095" w:type="dxa"/>
            <w:gridSpan w:val="3"/>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1545"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110"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650" w:type="dxa"/>
            <w:gridSpan w:val="3"/>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035" w:type="dxa"/>
            <w:gridSpan w:val="4"/>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1590" w:type="dxa"/>
            <w:gridSpan w:val="3"/>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r>
      <w:tr>
        <w:tblPrEx>
          <w:tblCellMar>
            <w:top w:w="0" w:type="dxa"/>
            <w:left w:w="0" w:type="dxa"/>
            <w:bottom w:w="0" w:type="dxa"/>
            <w:right w:w="0" w:type="dxa"/>
          </w:tblCellMar>
        </w:tblPrEx>
        <w:trPr>
          <w:gridAfter w:val="1"/>
          <w:wAfter w:w="60" w:type="dxa"/>
          <w:trHeight w:val="540" w:hRule="atLeast"/>
        </w:trPr>
        <w:tc>
          <w:tcPr>
            <w:tcW w:w="9930" w:type="dxa"/>
            <w:gridSpan w:val="23"/>
            <w:tcBorders>
              <w:top w:val="nil"/>
              <w:left w:val="nil"/>
              <w:bottom w:val="nil"/>
              <w:right w:val="nil"/>
            </w:tcBorders>
            <w:noWrap/>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tblPrEx>
          <w:tblCellMar>
            <w:top w:w="0" w:type="dxa"/>
            <w:left w:w="0" w:type="dxa"/>
            <w:bottom w:w="0" w:type="dxa"/>
            <w:right w:w="0" w:type="dxa"/>
          </w:tblCellMar>
        </w:tblPrEx>
        <w:trPr>
          <w:gridAfter w:val="1"/>
          <w:wAfter w:w="60" w:type="dxa"/>
          <w:trHeight w:val="435" w:hRule="atLeast"/>
        </w:trPr>
        <w:tc>
          <w:tcPr>
            <w:tcW w:w="2550" w:type="dxa"/>
            <w:gridSpan w:val="6"/>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4"/>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845" w:type="dxa"/>
            <w:gridSpan w:val="5"/>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560" w:type="dxa"/>
            <w:gridSpan w:val="3"/>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2355" w:type="dxa"/>
            <w:gridSpan w:val="5"/>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gridAfter w:val="1"/>
          <w:wAfter w:w="60" w:type="dxa"/>
          <w:trHeight w:val="54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中介咨询计划</w:t>
            </w:r>
          </w:p>
        </w:tc>
        <w:tc>
          <w:tcPr>
            <w:tcW w:w="1875" w:type="dxa"/>
            <w:gridSpan w:val="5"/>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w:t>
            </w: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w:t>
            </w:r>
          </w:p>
        </w:tc>
        <w:tc>
          <w:tcPr>
            <w:tcW w:w="340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复核人员</w:t>
            </w:r>
          </w:p>
        </w:tc>
        <w:tc>
          <w:tcPr>
            <w:tcW w:w="235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专业技术人员</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6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340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132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质量目标</w:t>
            </w:r>
          </w:p>
        </w:tc>
        <w:tc>
          <w:tcPr>
            <w:tcW w:w="7380" w:type="dxa"/>
            <w:gridSpan w:val="1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进度计划</w:t>
            </w:r>
          </w:p>
        </w:tc>
        <w:tc>
          <w:tcPr>
            <w:tcW w:w="7380" w:type="dxa"/>
            <w:gridSpan w:val="1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提交咨询成果文件时间：    年   月   日前。</w:t>
            </w:r>
          </w:p>
        </w:tc>
      </w:tr>
      <w:tr>
        <w:tblPrEx>
          <w:tblCellMar>
            <w:top w:w="0" w:type="dxa"/>
            <w:left w:w="0" w:type="dxa"/>
            <w:bottom w:w="0" w:type="dxa"/>
            <w:right w:w="0" w:type="dxa"/>
          </w:tblCellMar>
        </w:tblPrEx>
        <w:trPr>
          <w:gridAfter w:val="1"/>
          <w:wAfter w:w="60" w:type="dxa"/>
          <w:trHeight w:val="169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咨询实施方案</w:t>
            </w:r>
          </w:p>
        </w:tc>
        <w:tc>
          <w:tcPr>
            <w:tcW w:w="7380" w:type="dxa"/>
            <w:gridSpan w:val="1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中介机构领导审批</w:t>
            </w:r>
          </w:p>
        </w:tc>
        <w:tc>
          <w:tcPr>
            <w:tcW w:w="7380" w:type="dxa"/>
            <w:gridSpan w:val="1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9255" w:type="dxa"/>
            <w:gridSpan w:val="2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咨询工作记录</w:t>
            </w:r>
          </w:p>
        </w:tc>
      </w:tr>
      <w:tr>
        <w:tblPrEx>
          <w:tblCellMar>
            <w:top w:w="0" w:type="dxa"/>
            <w:left w:w="0" w:type="dxa"/>
            <w:bottom w:w="0" w:type="dxa"/>
            <w:right w:w="0" w:type="dxa"/>
          </w:tblCellMar>
        </w:tblPrEx>
        <w:trPr>
          <w:gridAfter w:val="1"/>
          <w:wAfter w:w="60" w:type="dxa"/>
          <w:trHeight w:val="108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送审资料的完           整性审查意见</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108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图纸审查意见</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145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招标文件审查意见</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13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合同文件审查意见</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87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定额版本</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计费程序文件号</w:t>
            </w:r>
          </w:p>
        </w:tc>
        <w:tc>
          <w:tcPr>
            <w:tcW w:w="346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c>
          <w:tcPr>
            <w:tcW w:w="15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材料价格        计价时点</w:t>
            </w: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b/>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9930" w:type="dxa"/>
            <w:gridSpan w:val="23"/>
            <w:tcBorders>
              <w:top w:val="nil"/>
              <w:left w:val="nil"/>
              <w:bottom w:val="nil"/>
              <w:right w:val="nil"/>
            </w:tcBorders>
            <w:noWrap/>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tblPrEx>
          <w:tblCellMar>
            <w:top w:w="0" w:type="dxa"/>
            <w:left w:w="0" w:type="dxa"/>
            <w:bottom w:w="0" w:type="dxa"/>
            <w:right w:w="0" w:type="dxa"/>
          </w:tblCellMar>
        </w:tblPrEx>
        <w:trPr>
          <w:gridAfter w:val="1"/>
          <w:wAfter w:w="60" w:type="dxa"/>
          <w:trHeight w:val="598" w:hRule="atLeast"/>
        </w:trPr>
        <w:tc>
          <w:tcPr>
            <w:tcW w:w="2550" w:type="dxa"/>
            <w:gridSpan w:val="6"/>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4"/>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845" w:type="dxa"/>
            <w:gridSpan w:val="5"/>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560" w:type="dxa"/>
            <w:gridSpan w:val="3"/>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2355" w:type="dxa"/>
            <w:gridSpan w:val="5"/>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gridAfter w:val="1"/>
          <w:wAfter w:w="60" w:type="dxa"/>
          <w:trHeight w:val="1080" w:hRule="atLeast"/>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市场询价情况（询价表作为附件备查）</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128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重大事项处理意见</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1015"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其他事项</w:t>
            </w:r>
          </w:p>
        </w:tc>
        <w:tc>
          <w:tcPr>
            <w:tcW w:w="7380" w:type="dxa"/>
            <w:gridSpan w:val="1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工程答疑情况记录表</w:t>
            </w: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现场踏勘情况记录表</w:t>
            </w:r>
          </w:p>
        </w:tc>
        <w:tc>
          <w:tcPr>
            <w:tcW w:w="16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申请现场踏勘时间</w:t>
            </w:r>
          </w:p>
        </w:tc>
        <w:tc>
          <w:tcPr>
            <w:tcW w:w="16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84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实际现场踏勘时间</w:t>
            </w:r>
          </w:p>
        </w:tc>
        <w:tc>
          <w:tcPr>
            <w:tcW w:w="391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9255" w:type="dxa"/>
            <w:gridSpan w:val="2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委托单位主动提出补充资料情况</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收到补充资料时间</w:t>
            </w:r>
          </w:p>
        </w:tc>
        <w:tc>
          <w:tcPr>
            <w:tcW w:w="5025"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 xml:space="preserve">补充资料名称 （注明变更设计编号、时间）         </w:t>
            </w: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5025"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5025"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5025"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9255" w:type="dxa"/>
            <w:gridSpan w:val="2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中介主动提出补充资料情况</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提出补充资料时间</w:t>
            </w: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实际补充资料时间</w:t>
            </w:r>
          </w:p>
        </w:tc>
        <w:tc>
          <w:tcPr>
            <w:tcW w:w="340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补充资料名称（注明索引号）</w:t>
            </w: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340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340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2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340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9255" w:type="dxa"/>
            <w:gridSpan w:val="2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申请延期情况</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申请时间</w:t>
            </w:r>
          </w:p>
        </w:tc>
        <w:tc>
          <w:tcPr>
            <w:tcW w:w="16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批准延期完成时间</w:t>
            </w:r>
          </w:p>
        </w:tc>
        <w:tc>
          <w:tcPr>
            <w:tcW w:w="184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实际完成时间</w:t>
            </w:r>
          </w:p>
        </w:tc>
        <w:tc>
          <w:tcPr>
            <w:tcW w:w="391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评审期限延缓申请书（注明索引号）</w:t>
            </w:r>
          </w:p>
        </w:tc>
      </w:tr>
      <w:tr>
        <w:tblPrEx>
          <w:tblCellMar>
            <w:top w:w="0" w:type="dxa"/>
            <w:left w:w="0" w:type="dxa"/>
            <w:bottom w:w="0" w:type="dxa"/>
            <w:right w:w="0" w:type="dxa"/>
          </w:tblCellMar>
        </w:tblPrEx>
        <w:trPr>
          <w:gridAfter w:val="1"/>
          <w:wAfter w:w="60" w:type="dxa"/>
          <w:trHeight w:val="540" w:hRule="atLeast"/>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84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391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34" w:hRule="atLeast"/>
        </w:trPr>
        <w:tc>
          <w:tcPr>
            <w:tcW w:w="9624" w:type="dxa"/>
            <w:gridSpan w:val="22"/>
            <w:tcBorders>
              <w:top w:val="nil"/>
              <w:left w:val="nil"/>
              <w:bottom w:val="nil"/>
              <w:right w:val="nil"/>
            </w:tcBorders>
            <w:noWrap/>
            <w:tcMar>
              <w:top w:w="15" w:type="dxa"/>
              <w:left w:w="15" w:type="dxa"/>
              <w:right w:w="15" w:type="dxa"/>
            </w:tcMar>
            <w:vAlign w:val="center"/>
          </w:tcPr>
          <w:p>
            <w:pPr>
              <w:tabs>
                <w:tab w:val="left" w:pos="5595"/>
              </w:tabs>
              <w:jc w:val="center"/>
              <w:rPr>
                <w:rFonts w:hint="eastAsia" w:hAnsi="宋体" w:cs="宋体"/>
                <w:b/>
                <w:color w:val="auto"/>
                <w:sz w:val="32"/>
                <w:szCs w:val="32"/>
                <w:highlight w:val="none"/>
              </w:rPr>
            </w:pPr>
            <w:r>
              <w:rPr>
                <w:color w:val="auto"/>
                <w:highlight w:val="none"/>
              </w:rPr>
              <w:object>
                <v:shape id="_x0000_i1025" o:spt="75" type="#_x0000_t75" style="height:660.9pt;width:474.8pt;" o:ole="t" fillcolor="#FFFFFF" filled="t" o:preferrelative="t" stroked="t" coordsize="21600,21600">
                  <v:path/>
                  <v:fill on="t" focussize="0,0"/>
                  <v:stroke/>
                  <v:imagedata r:id="rId20" o:title=""/>
                  <o:lock v:ext="edit" aspectratio="f"/>
                  <w10:wrap type="none"/>
                  <w10:anchorlock/>
                </v:shape>
                <o:OLEObject Type="Embed" ProgID="Word.Document.8" ShapeID="_x0000_i1025" DrawAspect="Content" ObjectID="_1468075725" r:id="rId19">
                  <o:LockedField>false</o:LockedField>
                </o:OLEObject>
              </w:object>
            </w:r>
            <w:r>
              <w:rPr>
                <w:rFonts w:hint="eastAsia" w:hAnsi="宋体" w:cs="宋体"/>
                <w:b/>
                <w:color w:val="auto"/>
                <w:sz w:val="32"/>
                <w:szCs w:val="32"/>
                <w:highlight w:val="none"/>
                <w:lang w:bidi="ar"/>
              </w:rPr>
              <w:t>项目工作流程表（三）</w:t>
            </w:r>
          </w:p>
        </w:tc>
      </w:tr>
      <w:tr>
        <w:tblPrEx>
          <w:tblCellMar>
            <w:top w:w="0" w:type="dxa"/>
            <w:left w:w="0" w:type="dxa"/>
            <w:bottom w:w="0" w:type="dxa"/>
            <w:right w:w="0" w:type="dxa"/>
          </w:tblCellMar>
        </w:tblPrEx>
        <w:trPr>
          <w:gridAfter w:val="2"/>
          <w:wAfter w:w="366" w:type="dxa"/>
          <w:trHeight w:val="499" w:hRule="atLeast"/>
        </w:trPr>
        <w:tc>
          <w:tcPr>
            <w:tcW w:w="1430" w:type="dxa"/>
            <w:gridSpan w:val="3"/>
            <w:tcBorders>
              <w:top w:val="nil"/>
              <w:left w:val="nil"/>
              <w:bottom w:val="nil"/>
              <w:right w:val="nil"/>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1447" w:type="dxa"/>
            <w:gridSpan w:val="4"/>
            <w:tcBorders>
              <w:top w:val="nil"/>
              <w:left w:val="nil"/>
              <w:bottom w:val="nil"/>
              <w:right w:val="nil"/>
            </w:tcBorders>
            <w:noWrap w:val="0"/>
            <w:tcMar>
              <w:top w:w="15" w:type="dxa"/>
              <w:left w:w="15" w:type="dxa"/>
              <w:right w:w="15" w:type="dxa"/>
            </w:tcMar>
            <w:vAlign w:val="center"/>
          </w:tcPr>
          <w:p>
            <w:pPr>
              <w:rPr>
                <w:rFonts w:hint="eastAsia" w:hAnsi="宋体" w:cs="宋体"/>
                <w:b/>
                <w:color w:val="auto"/>
                <w:sz w:val="20"/>
                <w:szCs w:val="20"/>
                <w:highlight w:val="none"/>
              </w:rPr>
            </w:pPr>
          </w:p>
        </w:tc>
        <w:tc>
          <w:tcPr>
            <w:tcW w:w="1742" w:type="dxa"/>
            <w:gridSpan w:val="5"/>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742" w:type="dxa"/>
            <w:gridSpan w:val="4"/>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1388" w:type="dxa"/>
            <w:gridSpan w:val="2"/>
            <w:tcBorders>
              <w:top w:val="nil"/>
              <w:left w:val="nil"/>
              <w:bottom w:val="nil"/>
              <w:right w:val="nil"/>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425" w:hRule="atLeast"/>
        </w:trPr>
        <w:tc>
          <w:tcPr>
            <w:tcW w:w="14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70528"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6" name="Line_4"/>
                  <wp:cNvGraphicFramePr/>
                  <a:graphic xmlns:a="http://schemas.openxmlformats.org/drawingml/2006/main">
                    <a:graphicData uri="http://schemas.openxmlformats.org/drawingml/2006/picture">
                      <pic:pic xmlns:pic="http://schemas.openxmlformats.org/drawingml/2006/picture">
                        <pic:nvPicPr>
                          <pic:cNvPr id="6" name="Line_4"/>
                          <pic:cNvPicPr/>
                        </pic:nvPicPr>
                        <pic:blipFill>
                          <a:blip r:embed="rId21"/>
                          <a:stretch>
                            <a:fillRect/>
                          </a:stretch>
                        </pic:blipFill>
                        <pic:spPr>
                          <a:xfrm>
                            <a:off x="0" y="0"/>
                            <a:ext cx="6324600" cy="0"/>
                          </a:xfrm>
                          <a:prstGeom prst="rect">
                            <a:avLst/>
                          </a:prstGeom>
                          <a:noFill/>
                          <a:ln>
                            <a:noFill/>
                          </a:ln>
                        </pic:spPr>
                      </pic:pic>
                    </a:graphicData>
                  </a:graphic>
                </wp:anchor>
              </w:drawing>
            </w:r>
            <w:r>
              <w:rPr>
                <w:rFonts w:hint="eastAsia" w:hAnsi="宋体" w:cs="宋体"/>
                <w:color w:val="auto"/>
                <w:sz w:val="20"/>
                <w:szCs w:val="20"/>
                <w:highlight w:val="none"/>
                <w:lang w:bidi="ar"/>
              </w:rPr>
              <w:t>中介提供咨询服务阶段</w:t>
            </w:r>
          </w:p>
        </w:tc>
        <w:tc>
          <w:tcPr>
            <w:tcW w:w="8194" w:type="dxa"/>
            <w:gridSpan w:val="1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咨询成果审批</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初步咨询造价</w:t>
            </w:r>
          </w:p>
        </w:tc>
        <w:tc>
          <w:tcPr>
            <w:tcW w:w="3484"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8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初步咨询完成时间</w:t>
            </w:r>
          </w:p>
        </w:tc>
        <w:tc>
          <w:tcPr>
            <w:tcW w:w="13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内部复核情况</w:t>
            </w: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8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c>
          <w:tcPr>
            <w:tcW w:w="13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第四次</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项目负责人（或技术负责人）审批情况</w:t>
            </w:r>
          </w:p>
        </w:tc>
        <w:tc>
          <w:tcPr>
            <w:tcW w:w="17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3189"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初步咨询结果提交委托人时间</w:t>
            </w:r>
          </w:p>
        </w:tc>
        <w:tc>
          <w:tcPr>
            <w:tcW w:w="174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委托方接收人员签名</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委托人评审阶段</w:t>
            </w:r>
          </w:p>
        </w:tc>
        <w:tc>
          <w:tcPr>
            <w:tcW w:w="3189"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委托人接收项目资料时间</w:t>
            </w:r>
          </w:p>
        </w:tc>
        <w:tc>
          <w:tcPr>
            <w:tcW w:w="174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71552"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5" name="Text_Box_2"/>
                  <wp:cNvGraphicFramePr/>
                  <a:graphic xmlns:a="http://schemas.openxmlformats.org/drawingml/2006/main">
                    <a:graphicData uri="http://schemas.openxmlformats.org/drawingml/2006/picture">
                      <pic:pic xmlns:pic="http://schemas.openxmlformats.org/drawingml/2006/picture">
                        <pic:nvPicPr>
                          <pic:cNvPr id="5" name="Text_Box_2"/>
                          <pic:cNvPicPr/>
                        </pic:nvPicPr>
                        <pic:blipFill>
                          <a:blip r:embed="rId22"/>
                          <a:stretch>
                            <a:fillRect/>
                          </a:stretch>
                        </pic:blipFill>
                        <pic:spPr>
                          <a:xfrm>
                            <a:off x="0" y="0"/>
                            <a:ext cx="76835" cy="219710"/>
                          </a:xfrm>
                          <a:prstGeom prst="rect">
                            <a:avLst/>
                          </a:prstGeom>
                          <a:noFill/>
                          <a:ln>
                            <a:noFill/>
                          </a:ln>
                        </pic:spPr>
                      </pic:pic>
                    </a:graphicData>
                  </a:graphic>
                </wp:anchor>
              </w:drawing>
            </w:r>
          </w:p>
        </w:tc>
        <w:tc>
          <w:tcPr>
            <w:tcW w:w="1875"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接收人员签名</w:t>
            </w:r>
          </w:p>
        </w:tc>
        <w:tc>
          <w:tcPr>
            <w:tcW w:w="1388"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送审资料是否完整</w:t>
            </w:r>
          </w:p>
        </w:tc>
        <w:tc>
          <w:tcPr>
            <w:tcW w:w="17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工作手册填写是否完整</w:t>
            </w:r>
          </w:p>
        </w:tc>
        <w:tc>
          <w:tcPr>
            <w:tcW w:w="1742"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8194" w:type="dxa"/>
            <w:gridSpan w:val="1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中介初步咨询成果存在的问题及建议(详细复核记录可作为附件备查):</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nil"/>
              <w:left w:val="single" w:color="000000" w:sz="4" w:space="0"/>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5"/>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742"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87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388" w:type="dxa"/>
            <w:gridSpan w:val="2"/>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8194" w:type="dxa"/>
            <w:gridSpan w:val="19"/>
            <w:tcBorders>
              <w:top w:val="nil"/>
              <w:left w:val="single" w:color="000000" w:sz="4" w:space="0"/>
              <w:bottom w:val="nil"/>
              <w:right w:val="single" w:color="000000" w:sz="4" w:space="0"/>
            </w:tcBorders>
            <w:noWrap w:val="0"/>
            <w:tcMar>
              <w:top w:w="15" w:type="dxa"/>
              <w:left w:w="15" w:type="dxa"/>
              <w:right w:w="15" w:type="dxa"/>
            </w:tcMar>
            <w:vAlign w:val="center"/>
          </w:tcPr>
          <w:p>
            <w:pPr>
              <w:jc w:val="both"/>
              <w:rPr>
                <w:rFonts w:hint="eastAsia" w:hAnsi="宋体" w:cs="宋体"/>
                <w:color w:val="auto"/>
                <w:highlight w:val="none"/>
              </w:rPr>
            </w:pPr>
          </w:p>
        </w:tc>
      </w:tr>
      <w:tr>
        <w:tblPrEx>
          <w:tblCellMar>
            <w:top w:w="0" w:type="dxa"/>
            <w:left w:w="0" w:type="dxa"/>
            <w:bottom w:w="0" w:type="dxa"/>
            <w:right w:w="0" w:type="dxa"/>
          </w:tblCellMar>
        </w:tblPrEx>
        <w:trPr>
          <w:gridAfter w:val="2"/>
          <w:wAfter w:w="366" w:type="dxa"/>
          <w:trHeight w:val="90" w:hRule="atLeast"/>
        </w:trPr>
        <w:tc>
          <w:tcPr>
            <w:tcW w:w="143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8194" w:type="dxa"/>
            <w:gridSpan w:val="1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经办人签名:</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中介与委托人对数情况</w:t>
            </w: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时间（第一次）</w:t>
            </w: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时间（第二次）</w:t>
            </w: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tblPrEx>
          <w:tblCellMar>
            <w:top w:w="0" w:type="dxa"/>
            <w:left w:w="0" w:type="dxa"/>
            <w:bottom w:w="0" w:type="dxa"/>
            <w:right w:w="0" w:type="dxa"/>
          </w:tblCellMar>
        </w:tblPrEx>
        <w:trPr>
          <w:gridAfter w:val="2"/>
          <w:wAfter w:w="366" w:type="dxa"/>
          <w:trHeight w:val="540" w:hRule="atLeast"/>
        </w:trPr>
        <w:tc>
          <w:tcPr>
            <w:tcW w:w="14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44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时间（第三次）</w:t>
            </w:r>
          </w:p>
        </w:tc>
        <w:tc>
          <w:tcPr>
            <w:tcW w:w="174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hAnsi="宋体" w:cs="宋体"/>
                <w:color w:val="auto"/>
                <w:sz w:val="20"/>
                <w:szCs w:val="20"/>
                <w:highlight w:val="none"/>
              </w:rPr>
            </w:pPr>
          </w:p>
        </w:tc>
        <w:tc>
          <w:tcPr>
            <w:tcW w:w="17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tblPrEx>
          <w:tblCellMar>
            <w:top w:w="0" w:type="dxa"/>
            <w:left w:w="0" w:type="dxa"/>
            <w:bottom w:w="0" w:type="dxa"/>
            <w:right w:w="0" w:type="dxa"/>
          </w:tblCellMar>
        </w:tblPrEx>
        <w:trPr>
          <w:gridAfter w:val="2"/>
          <w:wAfter w:w="366" w:type="dxa"/>
          <w:trHeight w:val="522" w:hRule="atLeast"/>
        </w:trPr>
        <w:tc>
          <w:tcPr>
            <w:tcW w:w="9624" w:type="dxa"/>
            <w:gridSpan w:val="22"/>
            <w:tcBorders>
              <w:top w:val="nil"/>
              <w:left w:val="nil"/>
              <w:bottom w:val="nil"/>
              <w:right w:val="nil"/>
            </w:tcBorders>
            <w:noWrap/>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项目工作流程表（四）</w:t>
            </w:r>
          </w:p>
        </w:tc>
      </w:tr>
      <w:tr>
        <w:tblPrEx>
          <w:tblCellMar>
            <w:top w:w="0" w:type="dxa"/>
            <w:left w:w="0" w:type="dxa"/>
            <w:bottom w:w="0" w:type="dxa"/>
            <w:right w:w="0" w:type="dxa"/>
          </w:tblCellMar>
        </w:tblPrEx>
        <w:trPr>
          <w:gridAfter w:val="2"/>
          <w:wAfter w:w="366" w:type="dxa"/>
          <w:trHeight w:val="522" w:hRule="atLeast"/>
        </w:trPr>
        <w:tc>
          <w:tcPr>
            <w:tcW w:w="735" w:type="dxa"/>
            <w:gridSpan w:val="2"/>
            <w:tcBorders>
              <w:top w:val="nil"/>
              <w:left w:val="nil"/>
              <w:bottom w:val="nil"/>
              <w:right w:val="nil"/>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735" w:type="dxa"/>
            <w:gridSpan w:val="2"/>
            <w:tcBorders>
              <w:top w:val="nil"/>
              <w:left w:val="nil"/>
              <w:bottom w:val="nil"/>
              <w:right w:val="nil"/>
            </w:tcBorders>
            <w:noWrap/>
            <w:tcMar>
              <w:top w:w="15" w:type="dxa"/>
              <w:left w:w="15" w:type="dxa"/>
              <w:right w:w="15" w:type="dxa"/>
            </w:tcMar>
            <w:vAlign w:val="center"/>
          </w:tcPr>
          <w:p>
            <w:pPr>
              <w:rPr>
                <w:rFonts w:hint="eastAsia" w:hAnsi="宋体" w:cs="宋体"/>
                <w:color w:val="auto"/>
                <w:sz w:val="20"/>
                <w:szCs w:val="20"/>
                <w:highlight w:val="none"/>
              </w:rPr>
            </w:pPr>
          </w:p>
        </w:tc>
        <w:tc>
          <w:tcPr>
            <w:tcW w:w="1635" w:type="dxa"/>
            <w:gridSpan w:val="5"/>
            <w:tcBorders>
              <w:top w:val="nil"/>
              <w:left w:val="nil"/>
              <w:bottom w:val="nil"/>
              <w:right w:val="nil"/>
            </w:tcBorders>
            <w:noWrap w:val="0"/>
            <w:tcMar>
              <w:top w:w="15" w:type="dxa"/>
              <w:left w:w="15" w:type="dxa"/>
              <w:right w:w="15" w:type="dxa"/>
            </w:tcMar>
            <w:vAlign w:val="center"/>
          </w:tcPr>
          <w:p>
            <w:pPr>
              <w:rPr>
                <w:rFonts w:hint="eastAsia" w:hAnsi="宋体" w:cs="宋体"/>
                <w:b/>
                <w:color w:val="auto"/>
                <w:sz w:val="20"/>
                <w:szCs w:val="20"/>
                <w:highlight w:val="none"/>
              </w:rPr>
            </w:pPr>
          </w:p>
        </w:tc>
        <w:tc>
          <w:tcPr>
            <w:tcW w:w="2295" w:type="dxa"/>
            <w:gridSpan w:val="4"/>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2295" w:type="dxa"/>
            <w:gridSpan w:val="6"/>
            <w:tcBorders>
              <w:top w:val="nil"/>
              <w:left w:val="nil"/>
              <w:bottom w:val="nil"/>
              <w:right w:val="nil"/>
            </w:tcBorders>
            <w:noWrap/>
            <w:tcMar>
              <w:top w:w="15" w:type="dxa"/>
              <w:left w:w="15" w:type="dxa"/>
              <w:right w:w="15" w:type="dxa"/>
            </w:tcMar>
            <w:vAlign w:val="center"/>
          </w:tcPr>
          <w:p>
            <w:pPr>
              <w:rPr>
                <w:rFonts w:hint="eastAsia" w:hAnsi="宋体" w:cs="宋体"/>
                <w:b/>
                <w:color w:val="auto"/>
                <w:sz w:val="20"/>
                <w:szCs w:val="20"/>
                <w:highlight w:val="none"/>
              </w:rPr>
            </w:pPr>
          </w:p>
        </w:tc>
        <w:tc>
          <w:tcPr>
            <w:tcW w:w="1929" w:type="dxa"/>
            <w:gridSpan w:val="3"/>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gridAfter w:val="2"/>
          <w:wAfter w:w="366" w:type="dxa"/>
          <w:trHeight w:val="48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lang w:bidi="ar"/>
              </w:rPr>
            </w:pPr>
          </w:p>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72576" behindDoc="0" locked="0" layoutInCell="1" allowOverlap="1">
                  <wp:simplePos x="0" y="0"/>
                  <wp:positionH relativeFrom="column">
                    <wp:posOffset>457200</wp:posOffset>
                  </wp:positionH>
                  <wp:positionV relativeFrom="paragraph">
                    <wp:posOffset>0</wp:posOffset>
                  </wp:positionV>
                  <wp:extent cx="1524635" cy="0"/>
                  <wp:effectExtent l="0" t="0" r="0" b="0"/>
                  <wp:wrapNone/>
                  <wp:docPr id="4" name="Line_3"/>
                  <wp:cNvGraphicFramePr/>
                  <a:graphic xmlns:a="http://schemas.openxmlformats.org/drawingml/2006/main">
                    <a:graphicData uri="http://schemas.openxmlformats.org/drawingml/2006/picture">
                      <pic:pic xmlns:pic="http://schemas.openxmlformats.org/drawingml/2006/picture">
                        <pic:nvPicPr>
                          <pic:cNvPr id="4" name="Line_3"/>
                          <pic:cNvPicPr/>
                        </pic:nvPicPr>
                        <pic:blipFill>
                          <a:blip r:embed="rId23"/>
                          <a:stretch>
                            <a:fillRect/>
                          </a:stretch>
                        </pic:blipFill>
                        <pic:spPr>
                          <a:xfrm>
                            <a:off x="0" y="0"/>
                            <a:ext cx="1524635" cy="0"/>
                          </a:xfrm>
                          <a:prstGeom prst="rect">
                            <a:avLst/>
                          </a:prstGeom>
                          <a:noFill/>
                          <a:ln>
                            <a:noFill/>
                          </a:ln>
                        </pic:spPr>
                      </pic:pic>
                    </a:graphicData>
                  </a:graphic>
                </wp:anchor>
              </w:drawing>
            </w:r>
            <w:r>
              <w:rPr>
                <w:rFonts w:hint="eastAsia" w:hAnsi="宋体" w:cs="宋体"/>
                <w:color w:val="auto"/>
                <w:sz w:val="20"/>
                <w:szCs w:val="20"/>
                <w:highlight w:val="none"/>
                <w:lang w:bidi="ar"/>
              </w:rPr>
              <w:t>对数后修改情况</w:t>
            </w:r>
          </w:p>
        </w:tc>
        <w:tc>
          <w:tcPr>
            <w:tcW w:w="6960" w:type="dxa"/>
            <w:gridSpan w:val="17"/>
            <w:tcBorders>
              <w:top w:val="single" w:color="000000" w:sz="4" w:space="0"/>
              <w:left w:val="single" w:color="000000" w:sz="4" w:space="0"/>
              <w:bottom w:val="nil"/>
              <w:right w:val="nil"/>
            </w:tcBorders>
            <w:noWrap/>
            <w:tcMar>
              <w:top w:w="15" w:type="dxa"/>
              <w:left w:w="15" w:type="dxa"/>
              <w:right w:w="15" w:type="dxa"/>
            </w:tcMar>
            <w:vAlign w:val="center"/>
          </w:tcPr>
          <w:p>
            <w:pPr>
              <w:rPr>
                <w:rFonts w:hint="eastAsia" w:hAnsi="宋体" w:cs="宋体"/>
                <w:color w:val="auto"/>
                <w:sz w:val="20"/>
                <w:szCs w:val="20"/>
                <w:highlight w:val="none"/>
              </w:rPr>
            </w:pPr>
            <w:r>
              <w:rPr>
                <w:rFonts w:hint="eastAsia" w:hAnsi="宋体" w:cs="宋体"/>
                <w:color w:val="auto"/>
                <w:sz w:val="20"/>
                <w:szCs w:val="20"/>
                <w:highlight w:val="none"/>
                <w:lang w:bidi="ar"/>
              </w:rPr>
              <w:t>每一次修改情况说明（修改情况说明书可作为附件备查）：</w:t>
            </w:r>
          </w:p>
        </w:tc>
        <w:tc>
          <w:tcPr>
            <w:tcW w:w="1929" w:type="dxa"/>
            <w:gridSpan w:val="3"/>
            <w:tcBorders>
              <w:top w:val="single" w:color="000000" w:sz="4" w:space="0"/>
              <w:left w:val="nil"/>
              <w:bottom w:val="nil"/>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35" w:type="dxa"/>
            <w:gridSpan w:val="5"/>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4"/>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6"/>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nil"/>
              <w:left w:val="nil"/>
              <w:bottom w:val="nil"/>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10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635" w:type="dxa"/>
            <w:gridSpan w:val="5"/>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4"/>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6"/>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nil"/>
              <w:left w:val="nil"/>
              <w:bottom w:val="nil"/>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522"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tcMar>
              <w:top w:w="15" w:type="dxa"/>
              <w:left w:w="15" w:type="dxa"/>
              <w:right w:w="15" w:type="dxa"/>
            </w:tcMar>
            <w:vAlign w:val="center"/>
          </w:tcPr>
          <w:p>
            <w:pPr>
              <w:rPr>
                <w:rFonts w:hint="eastAsia" w:hAnsi="宋体" w:cs="宋体"/>
                <w:color w:val="auto"/>
                <w:sz w:val="20"/>
                <w:szCs w:val="20"/>
                <w:highlight w:val="none"/>
              </w:rPr>
            </w:pPr>
          </w:p>
        </w:tc>
        <w:tc>
          <w:tcPr>
            <w:tcW w:w="1635" w:type="dxa"/>
            <w:gridSpan w:val="5"/>
            <w:tcBorders>
              <w:top w:val="nil"/>
              <w:left w:val="nil"/>
              <w:bottom w:val="nil"/>
              <w:right w:val="nil"/>
            </w:tcBorders>
            <w:noWrap/>
            <w:tcMar>
              <w:top w:w="15" w:type="dxa"/>
              <w:left w:w="15" w:type="dxa"/>
              <w:right w:w="15" w:type="dxa"/>
            </w:tcMar>
            <w:vAlign w:val="center"/>
          </w:tcPr>
          <w:p>
            <w:pPr>
              <w:rPr>
                <w:rFonts w:hint="eastAsia" w:hAnsi="宋体" w:cs="宋体"/>
                <w:color w:val="auto"/>
                <w:sz w:val="20"/>
                <w:szCs w:val="20"/>
                <w:highlight w:val="none"/>
              </w:rPr>
            </w:pPr>
          </w:p>
        </w:tc>
        <w:tc>
          <w:tcPr>
            <w:tcW w:w="229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2295" w:type="dxa"/>
            <w:gridSpan w:val="6"/>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929" w:type="dxa"/>
            <w:gridSpan w:val="3"/>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264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nil"/>
              <w:left w:val="single" w:color="000000" w:sz="4" w:space="0"/>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4"/>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2295" w:type="dxa"/>
            <w:gridSpan w:val="6"/>
            <w:tcBorders>
              <w:top w:val="nil"/>
              <w:left w:val="nil"/>
              <w:bottom w:val="nil"/>
              <w:right w:val="nil"/>
            </w:tcBorders>
            <w:noWrap w:val="0"/>
            <w:tcMar>
              <w:top w:w="15" w:type="dxa"/>
              <w:left w:w="15" w:type="dxa"/>
              <w:right w:w="15" w:type="dxa"/>
            </w:tcMar>
            <w:vAlign w:val="center"/>
          </w:tcPr>
          <w:p>
            <w:pPr>
              <w:rPr>
                <w:rFonts w:hint="eastAsia" w:hAnsi="宋体" w:cs="宋体"/>
                <w:color w:val="auto"/>
                <w:sz w:val="20"/>
                <w:szCs w:val="20"/>
                <w:highlight w:val="none"/>
              </w:rPr>
            </w:pPr>
          </w:p>
        </w:tc>
        <w:tc>
          <w:tcPr>
            <w:tcW w:w="1929" w:type="dxa"/>
            <w:gridSpan w:val="3"/>
            <w:tcBorders>
              <w:top w:val="nil"/>
              <w:left w:val="nil"/>
              <w:bottom w:val="nil"/>
              <w:right w:val="single" w:color="000000"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264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nil"/>
              <w:left w:val="single" w:color="000000" w:sz="4" w:space="0"/>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4"/>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6"/>
            <w:tcBorders>
              <w:top w:val="nil"/>
              <w:left w:val="nil"/>
              <w:bottom w:val="nil"/>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nil"/>
              <w:left w:val="nil"/>
              <w:bottom w:val="nil"/>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117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4"/>
            <w:tcBorders>
              <w:top w:val="nil"/>
              <w:left w:val="nil"/>
              <w:bottom w:val="single" w:color="000000" w:sz="4" w:space="0"/>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295" w:type="dxa"/>
            <w:gridSpan w:val="6"/>
            <w:tcBorders>
              <w:top w:val="nil"/>
              <w:left w:val="nil"/>
              <w:bottom w:val="single" w:color="000000" w:sz="4" w:space="0"/>
              <w:right w:val="nil"/>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480" w:hRule="atLeast"/>
        </w:trPr>
        <w:tc>
          <w:tcPr>
            <w:tcW w:w="73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73600"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 name="Line_2"/>
                  <wp:cNvGraphicFramePr/>
                  <a:graphic xmlns:a="http://schemas.openxmlformats.org/drawingml/2006/main">
                    <a:graphicData uri="http://schemas.openxmlformats.org/drawingml/2006/picture">
                      <pic:pic xmlns:pic="http://schemas.openxmlformats.org/drawingml/2006/picture">
                        <pic:nvPicPr>
                          <pic:cNvPr id="1" name="Line_2"/>
                          <pic:cNvPicPr/>
                        </pic:nvPicPr>
                        <pic:blipFill>
                          <a:blip r:embed="rId24"/>
                          <a:stretch>
                            <a:fillRect/>
                          </a:stretch>
                        </pic:blipFill>
                        <pic:spPr>
                          <a:xfrm>
                            <a:off x="0" y="0"/>
                            <a:ext cx="1514475" cy="0"/>
                          </a:xfrm>
                          <a:prstGeom prst="rect">
                            <a:avLst/>
                          </a:prstGeom>
                          <a:noFill/>
                          <a:ln>
                            <a:noFill/>
                          </a:ln>
                        </pic:spPr>
                      </pic:pic>
                    </a:graphicData>
                  </a:graphic>
                </wp:anchor>
              </w:drawing>
            </w:r>
            <w:r>
              <w:rPr>
                <w:rFonts w:hint="eastAsia" w:hAnsi="宋体" w:cs="宋体"/>
                <w:color w:val="auto"/>
                <w:sz w:val="20"/>
                <w:szCs w:val="20"/>
                <w:highlight w:val="none"/>
                <w:bdr w:val="single" w:color="000000" w:sz="4" w:space="0"/>
                <w:lang w:bidi="ar"/>
              </w:rPr>
              <w:drawing>
                <wp:anchor distT="0" distB="0" distL="114300" distR="114300" simplePos="0" relativeHeight="251674624"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2" name="图片 6"/>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25"/>
                          <a:stretch>
                            <a:fillRect/>
                          </a:stretch>
                        </pic:blipFill>
                        <pic:spPr>
                          <a:xfrm>
                            <a:off x="0" y="0"/>
                            <a:ext cx="1524635" cy="266700"/>
                          </a:xfrm>
                          <a:prstGeom prst="rect">
                            <a:avLst/>
                          </a:prstGeom>
                          <a:noFill/>
                          <a:ln>
                            <a:noFill/>
                          </a:ln>
                        </pic:spPr>
                      </pic:pic>
                    </a:graphicData>
                  </a:graphic>
                </wp:anchor>
              </w:drawing>
            </w:r>
            <w:r>
              <w:rPr>
                <w:rFonts w:hint="eastAsia" w:hAnsi="宋体" w:cs="宋体"/>
                <w:color w:val="auto"/>
                <w:sz w:val="20"/>
                <w:szCs w:val="20"/>
                <w:highlight w:val="none"/>
                <w:lang w:bidi="ar"/>
              </w:rPr>
              <w:t>中介再次提交委托人审核情况</w:t>
            </w:r>
          </w:p>
        </w:tc>
        <w:tc>
          <w:tcPr>
            <w:tcW w:w="73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项目</w:t>
            </w:r>
          </w:p>
        </w:tc>
        <w:tc>
          <w:tcPr>
            <w:tcW w:w="1635" w:type="dxa"/>
            <w:gridSpan w:val="5"/>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pPr>
              <w:widowControl/>
              <w:jc w:val="right"/>
              <w:textAlignment w:val="top"/>
              <w:rPr>
                <w:rFonts w:hint="eastAsia" w:hAnsi="宋体" w:cs="宋体"/>
                <w:color w:val="auto"/>
                <w:sz w:val="20"/>
                <w:szCs w:val="20"/>
                <w:highlight w:val="none"/>
              </w:rPr>
            </w:pPr>
            <w:r>
              <w:rPr>
                <w:rFonts w:hint="eastAsia" w:hAnsi="宋体" w:cs="宋体"/>
                <w:color w:val="auto"/>
                <w:sz w:val="20"/>
                <w:szCs w:val="20"/>
                <w:highlight w:val="none"/>
                <w:lang w:bidi="ar"/>
              </w:rPr>
              <w:t>修改次数</w:t>
            </w:r>
          </w:p>
        </w:tc>
        <w:tc>
          <w:tcPr>
            <w:tcW w:w="22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22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9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r>
      <w:tr>
        <w:tblPrEx>
          <w:tblCellMar>
            <w:top w:w="0" w:type="dxa"/>
            <w:left w:w="0" w:type="dxa"/>
            <w:bottom w:w="0" w:type="dxa"/>
            <w:right w:w="0" w:type="dxa"/>
          </w:tblCellMar>
        </w:tblPrEx>
        <w:trPr>
          <w:gridAfter w:val="2"/>
          <w:wAfter w:w="366" w:type="dxa"/>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接收时间</w:t>
            </w:r>
          </w:p>
        </w:tc>
        <w:tc>
          <w:tcPr>
            <w:tcW w:w="22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22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送审金额</w:t>
            </w:r>
          </w:p>
        </w:tc>
        <w:tc>
          <w:tcPr>
            <w:tcW w:w="22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22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366" w:type="dxa"/>
          <w:trHeight w:val="480" w:hRule="atLeast"/>
        </w:trPr>
        <w:tc>
          <w:tcPr>
            <w:tcW w:w="73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237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委托部门                  接收人员签名</w:t>
            </w:r>
          </w:p>
        </w:tc>
        <w:tc>
          <w:tcPr>
            <w:tcW w:w="229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22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92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r>
    </w:tbl>
    <w:p>
      <w:pPr>
        <w:tabs>
          <w:tab w:val="left" w:pos="5595"/>
        </w:tabs>
        <w:jc w:val="center"/>
        <w:rPr>
          <w:rFonts w:hint="eastAsia" w:hAnsi="宋体"/>
          <w:color w:val="auto"/>
          <w:sz w:val="36"/>
          <w:szCs w:val="36"/>
          <w:highlight w:val="none"/>
        </w:rPr>
      </w:pPr>
      <w:r>
        <w:rPr>
          <w:rFonts w:hint="eastAsia" w:hAnsi="宋体"/>
          <w:color w:val="auto"/>
          <w:sz w:val="36"/>
          <w:szCs w:val="36"/>
          <w:highlight w:val="none"/>
        </w:rPr>
        <w:br w:type="page"/>
      </w:r>
    </w:p>
    <w:tbl>
      <w:tblPr>
        <w:tblStyle w:val="49"/>
        <w:tblW w:w="9637" w:type="dxa"/>
        <w:tblInd w:w="0" w:type="dxa"/>
        <w:tblLayout w:type="fixed"/>
        <w:tblCellMar>
          <w:top w:w="0" w:type="dxa"/>
          <w:left w:w="0" w:type="dxa"/>
          <w:bottom w:w="0" w:type="dxa"/>
          <w:right w:w="0" w:type="dxa"/>
        </w:tblCellMar>
      </w:tblPr>
      <w:tblGrid>
        <w:gridCol w:w="1442"/>
        <w:gridCol w:w="1760"/>
        <w:gridCol w:w="1859"/>
        <w:gridCol w:w="1815"/>
        <w:gridCol w:w="2761"/>
      </w:tblGrid>
      <w:tr>
        <w:tblPrEx>
          <w:tblCellMar>
            <w:top w:w="0" w:type="dxa"/>
            <w:left w:w="0" w:type="dxa"/>
            <w:bottom w:w="0" w:type="dxa"/>
            <w:right w:w="0" w:type="dxa"/>
          </w:tblCellMar>
        </w:tblPrEx>
        <w:trPr>
          <w:trHeight w:val="386" w:hRule="atLeast"/>
        </w:trPr>
        <w:tc>
          <w:tcPr>
            <w:tcW w:w="9637" w:type="dxa"/>
            <w:gridSpan w:val="5"/>
            <w:noWrap/>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项目工作流程表（五）</w:t>
            </w:r>
          </w:p>
        </w:tc>
      </w:tr>
      <w:tr>
        <w:tblPrEx>
          <w:tblCellMar>
            <w:top w:w="0" w:type="dxa"/>
            <w:left w:w="0" w:type="dxa"/>
            <w:bottom w:w="0" w:type="dxa"/>
            <w:right w:w="0" w:type="dxa"/>
          </w:tblCellMar>
        </w:tblPrEx>
        <w:trPr>
          <w:trHeight w:val="353" w:hRule="atLeast"/>
        </w:trPr>
        <w:tc>
          <w:tcPr>
            <w:tcW w:w="1442" w:type="dxa"/>
            <w:tcBorders>
              <w:bottom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1760" w:type="dxa"/>
            <w:tcBorders>
              <w:bottom w:val="single" w:color="auto" w:sz="4" w:space="0"/>
            </w:tcBorders>
            <w:noWrap w:val="0"/>
            <w:tcMar>
              <w:top w:w="15" w:type="dxa"/>
              <w:left w:w="15" w:type="dxa"/>
              <w:right w:w="15" w:type="dxa"/>
            </w:tcMar>
            <w:vAlign w:val="center"/>
          </w:tcPr>
          <w:p>
            <w:pPr>
              <w:rPr>
                <w:rFonts w:hint="eastAsia" w:hAnsi="宋体" w:cs="宋体"/>
                <w:b/>
                <w:color w:val="auto"/>
                <w:sz w:val="20"/>
                <w:szCs w:val="20"/>
                <w:highlight w:val="none"/>
              </w:rPr>
            </w:pPr>
          </w:p>
        </w:tc>
        <w:tc>
          <w:tcPr>
            <w:tcW w:w="1859" w:type="dxa"/>
            <w:tcBorders>
              <w:bottom w:val="single" w:color="auto" w:sz="4" w:space="0"/>
            </w:tcBorders>
            <w:noWrap/>
            <w:tcMar>
              <w:top w:w="15" w:type="dxa"/>
              <w:left w:w="15" w:type="dxa"/>
              <w:right w:w="15" w:type="dxa"/>
            </w:tcMar>
            <w:vAlign w:val="center"/>
          </w:tcPr>
          <w:p>
            <w:pPr>
              <w:rPr>
                <w:rFonts w:hint="eastAsia" w:hAnsi="宋体" w:cs="宋体"/>
                <w:b/>
                <w:color w:val="auto"/>
                <w:sz w:val="20"/>
                <w:szCs w:val="20"/>
                <w:highlight w:val="none"/>
              </w:rPr>
            </w:pPr>
          </w:p>
        </w:tc>
        <w:tc>
          <w:tcPr>
            <w:tcW w:w="1815" w:type="dxa"/>
            <w:tcBorders>
              <w:bottom w:val="single" w:color="auto" w:sz="4" w:space="0"/>
            </w:tcBorders>
            <w:noWrap/>
            <w:tcMar>
              <w:top w:w="15" w:type="dxa"/>
              <w:left w:w="15" w:type="dxa"/>
              <w:right w:w="15" w:type="dxa"/>
            </w:tcMar>
            <w:vAlign w:val="center"/>
          </w:tcPr>
          <w:p>
            <w:pPr>
              <w:rPr>
                <w:rFonts w:hint="eastAsia" w:hAnsi="宋体" w:cs="宋体"/>
                <w:b/>
                <w:color w:val="auto"/>
                <w:sz w:val="20"/>
                <w:szCs w:val="20"/>
                <w:highlight w:val="none"/>
              </w:rPr>
            </w:pPr>
          </w:p>
        </w:tc>
        <w:tc>
          <w:tcPr>
            <w:tcW w:w="2761" w:type="dxa"/>
            <w:tcBorders>
              <w:bottom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trHeight w:val="386" w:hRule="atLeast"/>
        </w:trPr>
        <w:tc>
          <w:tcPr>
            <w:tcW w:w="963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成果文件阶段</w:t>
            </w:r>
          </w:p>
        </w:tc>
      </w:tr>
      <w:tr>
        <w:tblPrEx>
          <w:tblCellMar>
            <w:top w:w="0" w:type="dxa"/>
            <w:left w:w="0" w:type="dxa"/>
            <w:bottom w:w="0" w:type="dxa"/>
            <w:right w:w="0" w:type="dxa"/>
          </w:tblCellMar>
        </w:tblPrEx>
        <w:trPr>
          <w:trHeight w:val="401" w:hRule="atLeast"/>
        </w:trPr>
        <w:tc>
          <w:tcPr>
            <w:tcW w:w="320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项目定案时间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定案造价</w:t>
            </w: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r>
      <w:tr>
        <w:tblPrEx>
          <w:tblCellMar>
            <w:top w:w="0" w:type="dxa"/>
            <w:left w:w="0" w:type="dxa"/>
            <w:bottom w:w="0" w:type="dxa"/>
            <w:right w:w="0" w:type="dxa"/>
          </w:tblCellMar>
        </w:tblPrEx>
        <w:trPr>
          <w:trHeight w:val="431" w:hRule="atLeast"/>
        </w:trPr>
        <w:tc>
          <w:tcPr>
            <w:tcW w:w="320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中介单位项目资料移交归档时间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委托单位接收人员签名</w:t>
            </w: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宋体" w:eastAsia="仿宋_GB2312" w:cs="仿宋_GB2312"/>
                <w:color w:val="auto"/>
                <w:sz w:val="20"/>
                <w:szCs w:val="20"/>
                <w:highlight w:val="none"/>
              </w:rPr>
            </w:pPr>
          </w:p>
        </w:tc>
      </w:tr>
      <w:tr>
        <w:tblPrEx>
          <w:tblCellMar>
            <w:top w:w="0" w:type="dxa"/>
            <w:left w:w="0" w:type="dxa"/>
            <w:bottom w:w="0" w:type="dxa"/>
            <w:right w:w="0" w:type="dxa"/>
          </w:tblCellMar>
        </w:tblPrEx>
        <w:trPr>
          <w:trHeight w:val="401" w:hRule="atLeast"/>
        </w:trPr>
        <w:tc>
          <w:tcPr>
            <w:tcW w:w="9637"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归档资料清单</w:t>
            </w: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资料名称</w:t>
            </w:r>
          </w:p>
        </w:tc>
        <w:tc>
          <w:tcPr>
            <w:tcW w:w="361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资料目录或内容索引号</w:t>
            </w: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276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3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工程量计算底稿及电子文件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3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成果文件及电子文件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备查资料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401" w:hRule="atLeast"/>
        </w:trPr>
        <w:tc>
          <w:tcPr>
            <w:tcW w:w="14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hAnsi="宋体" w:cs="宋体"/>
                <w:color w:val="auto"/>
                <w:sz w:val="20"/>
                <w:szCs w:val="20"/>
                <w:highlight w:val="none"/>
              </w:rPr>
            </w:pPr>
          </w:p>
        </w:tc>
        <w:tc>
          <w:tcPr>
            <w:tcW w:w="18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27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trHeight w:val="575" w:hRule="atLeast"/>
        </w:trPr>
        <w:tc>
          <w:tcPr>
            <w:tcW w:w="9637" w:type="dxa"/>
            <w:gridSpan w:val="5"/>
            <w:tcBorders>
              <w:top w:val="single" w:color="auto" w:sz="4" w:space="0"/>
            </w:tcBorders>
            <w:noWrap/>
            <w:tcMar>
              <w:top w:w="15" w:type="dxa"/>
              <w:left w:w="15" w:type="dxa"/>
              <w:right w:w="15" w:type="dxa"/>
            </w:tcMar>
            <w:vAlign w:val="center"/>
          </w:tcPr>
          <w:p>
            <w:pPr>
              <w:rPr>
                <w:rFonts w:hint="eastAsia" w:hAnsi="宋体" w:cs="宋体"/>
                <w:color w:val="auto"/>
                <w:sz w:val="18"/>
                <w:szCs w:val="18"/>
                <w:highlight w:val="none"/>
              </w:rPr>
            </w:pPr>
            <w:r>
              <w:rPr>
                <w:rFonts w:hint="eastAsia" w:hAnsi="宋体" w:cs="宋体"/>
                <w:color w:val="auto"/>
                <w:sz w:val="18"/>
                <w:szCs w:val="18"/>
                <w:highlight w:val="none"/>
                <w:lang w:bidi="ar"/>
              </w:rPr>
              <w:t>说明：1、如资料较多，可另附详细资料清单，在本表记录主要内容和资料页数，在备注栏内注明是否完整和详见X附件。</w:t>
            </w:r>
          </w:p>
        </w:tc>
      </w:tr>
      <w:tr>
        <w:tblPrEx>
          <w:tblCellMar>
            <w:top w:w="0" w:type="dxa"/>
            <w:left w:w="0" w:type="dxa"/>
            <w:bottom w:w="0" w:type="dxa"/>
            <w:right w:w="0" w:type="dxa"/>
          </w:tblCellMar>
        </w:tblPrEx>
        <w:trPr>
          <w:trHeight w:val="401" w:hRule="atLeast"/>
        </w:trPr>
        <w:tc>
          <w:tcPr>
            <w:tcW w:w="9637" w:type="dxa"/>
            <w:gridSpan w:val="5"/>
            <w:noWrap w:val="0"/>
            <w:tcMar>
              <w:top w:w="15" w:type="dxa"/>
              <w:left w:w="15" w:type="dxa"/>
              <w:right w:w="15" w:type="dxa"/>
            </w:tcMar>
            <w:vAlign w:val="center"/>
          </w:tcPr>
          <w:p>
            <w:pPr>
              <w:widowControl/>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tblPrEx>
          <w:tblCellMar>
            <w:top w:w="0" w:type="dxa"/>
            <w:left w:w="0" w:type="dxa"/>
            <w:bottom w:w="0" w:type="dxa"/>
            <w:right w:w="0" w:type="dxa"/>
          </w:tblCellMar>
        </w:tblPrEx>
        <w:trPr>
          <w:trHeight w:val="389" w:hRule="atLeast"/>
        </w:trPr>
        <w:tc>
          <w:tcPr>
            <w:tcW w:w="9637" w:type="dxa"/>
            <w:gridSpan w:val="5"/>
            <w:noWrap/>
            <w:tcMar>
              <w:top w:w="15" w:type="dxa"/>
              <w:left w:w="15" w:type="dxa"/>
              <w:right w:w="15" w:type="dxa"/>
            </w:tcMar>
            <w:vAlign w:val="center"/>
          </w:tcPr>
          <w:p>
            <w:pPr>
              <w:rPr>
                <w:rFonts w:hint="eastAsia" w:hAnsi="宋体" w:cs="宋体"/>
                <w:color w:val="auto"/>
                <w:sz w:val="18"/>
                <w:szCs w:val="18"/>
                <w:highlight w:val="none"/>
              </w:rPr>
            </w:pPr>
            <w:r>
              <w:rPr>
                <w:rFonts w:hint="eastAsia" w:hAnsi="宋体" w:cs="宋体"/>
                <w:color w:val="auto"/>
                <w:sz w:val="18"/>
                <w:szCs w:val="18"/>
                <w:highlight w:val="none"/>
                <w:lang w:bidi="ar"/>
              </w:rPr>
              <w:t xml:space="preserve">      3、本评审手册由被委托单位移交委托人存档。</w:t>
            </w:r>
          </w:p>
        </w:tc>
      </w:tr>
      <w:tr>
        <w:tblPrEx>
          <w:tblCellMar>
            <w:top w:w="0" w:type="dxa"/>
            <w:left w:w="0" w:type="dxa"/>
            <w:bottom w:w="0" w:type="dxa"/>
            <w:right w:w="0" w:type="dxa"/>
          </w:tblCellMar>
        </w:tblPrEx>
        <w:trPr>
          <w:trHeight w:val="583" w:hRule="atLeast"/>
        </w:trPr>
        <w:tc>
          <w:tcPr>
            <w:tcW w:w="9637" w:type="dxa"/>
            <w:gridSpan w:val="5"/>
            <w:noWrap/>
            <w:tcMar>
              <w:top w:w="15" w:type="dxa"/>
              <w:left w:w="15" w:type="dxa"/>
              <w:right w:w="15" w:type="dxa"/>
            </w:tcMar>
            <w:vAlign w:val="center"/>
          </w:tcPr>
          <w:p>
            <w:pPr>
              <w:rPr>
                <w:rFonts w:hint="eastAsia" w:hAnsi="宋体" w:cs="宋体"/>
                <w:color w:val="auto"/>
                <w:sz w:val="20"/>
                <w:szCs w:val="20"/>
                <w:highlight w:val="none"/>
              </w:rPr>
            </w:pPr>
            <w:r>
              <w:rPr>
                <w:rFonts w:hint="eastAsia" w:hAnsi="宋体" w:cs="宋体"/>
                <w:color w:val="auto"/>
                <w:sz w:val="18"/>
                <w:szCs w:val="18"/>
                <w:highlight w:val="none"/>
                <w:lang w:bidi="ar"/>
              </w:rPr>
              <w:t xml:space="preserve">      4、工程量计算底稿如使用专用软件计算的，只打印分楼层分部位的汇总表，不需打印构件明细表。</w:t>
            </w:r>
          </w:p>
        </w:tc>
      </w:tr>
    </w:tbl>
    <w:p>
      <w:pPr>
        <w:tabs>
          <w:tab w:val="left" w:pos="5595"/>
        </w:tabs>
        <w:jc w:val="center"/>
        <w:rPr>
          <w:rFonts w:hint="eastAsia" w:hAnsi="宋体"/>
          <w:color w:val="auto"/>
          <w:sz w:val="36"/>
          <w:szCs w:val="36"/>
          <w:highlight w:val="none"/>
        </w:rPr>
      </w:pPr>
    </w:p>
    <w:tbl>
      <w:tblPr>
        <w:tblStyle w:val="49"/>
        <w:tblW w:w="5000" w:type="pct"/>
        <w:tblInd w:w="0" w:type="dxa"/>
        <w:tblLayout w:type="autofit"/>
        <w:tblCellMar>
          <w:top w:w="0" w:type="dxa"/>
          <w:left w:w="0" w:type="dxa"/>
          <w:bottom w:w="0" w:type="dxa"/>
          <w:right w:w="0" w:type="dxa"/>
        </w:tblCellMar>
      </w:tblPr>
      <w:tblGrid>
        <w:gridCol w:w="541"/>
        <w:gridCol w:w="375"/>
        <w:gridCol w:w="2"/>
        <w:gridCol w:w="509"/>
        <w:gridCol w:w="10"/>
        <w:gridCol w:w="1367"/>
        <w:gridCol w:w="4"/>
        <w:gridCol w:w="1616"/>
        <w:gridCol w:w="230"/>
        <w:gridCol w:w="597"/>
        <w:gridCol w:w="905"/>
        <w:gridCol w:w="172"/>
        <w:gridCol w:w="539"/>
        <w:gridCol w:w="1075"/>
        <w:gridCol w:w="17"/>
        <w:gridCol w:w="1114"/>
        <w:gridCol w:w="315"/>
        <w:gridCol w:w="265"/>
        <w:gridCol w:w="15"/>
      </w:tblGrid>
      <w:tr>
        <w:tblPrEx>
          <w:tblCellMar>
            <w:top w:w="0" w:type="dxa"/>
            <w:left w:w="0" w:type="dxa"/>
            <w:bottom w:w="0" w:type="dxa"/>
            <w:right w:w="0" w:type="dxa"/>
          </w:tblCellMar>
        </w:tblPrEx>
        <w:trPr>
          <w:gridAfter w:val="2"/>
          <w:wAfter w:w="143" w:type="pct"/>
          <w:trHeight w:val="288" w:hRule="atLeast"/>
        </w:trPr>
        <w:tc>
          <w:tcPr>
            <w:tcW w:w="280" w:type="pct"/>
            <w:tcBorders>
              <w:top w:val="nil"/>
              <w:left w:val="nil"/>
              <w:bottom w:val="nil"/>
              <w:right w:val="nil"/>
            </w:tcBorders>
            <w:noWrap w:val="0"/>
            <w:tcMar>
              <w:top w:w="15" w:type="dxa"/>
              <w:left w:w="15" w:type="dxa"/>
              <w:right w:w="15" w:type="dxa"/>
            </w:tcMar>
            <w:vAlign w:val="bottom"/>
          </w:tcPr>
          <w:p>
            <w:pPr>
              <w:jc w:val="center"/>
              <w:rPr>
                <w:rFonts w:hint="eastAsia" w:hAnsi="宋体" w:cs="宋体"/>
                <w:color w:val="auto"/>
                <w:highlight w:val="none"/>
              </w:rPr>
            </w:pPr>
          </w:p>
        </w:tc>
        <w:tc>
          <w:tcPr>
            <w:tcW w:w="2435" w:type="pct"/>
            <w:gridSpan w:val="9"/>
            <w:tcBorders>
              <w:top w:val="nil"/>
              <w:left w:val="nil"/>
              <w:bottom w:val="nil"/>
              <w:right w:val="nil"/>
            </w:tcBorders>
            <w:noWrap w:val="0"/>
            <w:tcMar>
              <w:top w:w="15" w:type="dxa"/>
              <w:left w:w="15" w:type="dxa"/>
              <w:right w:w="15" w:type="dxa"/>
            </w:tcMar>
            <w:vAlign w:val="bottom"/>
          </w:tcPr>
          <w:p>
            <w:pPr>
              <w:rPr>
                <w:rFonts w:hint="eastAsia" w:hAnsi="宋体" w:cs="宋体"/>
                <w:color w:val="auto"/>
                <w:highlight w:val="none"/>
              </w:rPr>
            </w:pPr>
          </w:p>
        </w:tc>
        <w:tc>
          <w:tcPr>
            <w:tcW w:w="468" w:type="pct"/>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368" w:type="pct"/>
            <w:gridSpan w:val="2"/>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565" w:type="pct"/>
            <w:gridSpan w:val="2"/>
            <w:tcBorders>
              <w:top w:val="nil"/>
              <w:left w:val="nil"/>
              <w:bottom w:val="nil"/>
              <w:right w:val="nil"/>
            </w:tcBorders>
            <w:noWrap/>
            <w:tcMar>
              <w:top w:w="15" w:type="dxa"/>
              <w:left w:w="15" w:type="dxa"/>
              <w:right w:w="15" w:type="dxa"/>
            </w:tcMar>
            <w:vAlign w:val="bottom"/>
          </w:tcPr>
          <w:p>
            <w:pPr>
              <w:rPr>
                <w:rFonts w:hint="eastAsia" w:hAnsi="宋体" w:cs="宋体"/>
                <w:color w:val="auto"/>
                <w:highlight w:val="none"/>
              </w:rPr>
            </w:pPr>
          </w:p>
        </w:tc>
        <w:tc>
          <w:tcPr>
            <w:tcW w:w="737" w:type="pct"/>
            <w:gridSpan w:val="2"/>
            <w:tcBorders>
              <w:top w:val="nil"/>
              <w:left w:val="nil"/>
              <w:bottom w:val="nil"/>
              <w:right w:val="nil"/>
            </w:tcBorders>
            <w:noWrap/>
            <w:tcMar>
              <w:top w:w="15" w:type="dxa"/>
              <w:left w:w="15" w:type="dxa"/>
              <w:right w:w="15" w:type="dxa"/>
            </w:tcMar>
            <w:vAlign w:val="bottom"/>
          </w:tcPr>
          <w:p>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附件1</w:t>
            </w:r>
          </w:p>
        </w:tc>
      </w:tr>
      <w:tr>
        <w:tblPrEx>
          <w:tblCellMar>
            <w:top w:w="0" w:type="dxa"/>
            <w:left w:w="0" w:type="dxa"/>
            <w:bottom w:w="0" w:type="dxa"/>
            <w:right w:w="0" w:type="dxa"/>
          </w:tblCellMar>
        </w:tblPrEx>
        <w:trPr>
          <w:gridAfter w:val="2"/>
          <w:wAfter w:w="143" w:type="pct"/>
          <w:trHeight w:val="549" w:hRule="atLeast"/>
        </w:trPr>
        <w:tc>
          <w:tcPr>
            <w:tcW w:w="4856" w:type="pct"/>
            <w:gridSpan w:val="17"/>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咨询项目备查资料清单</w:t>
            </w:r>
          </w:p>
        </w:tc>
      </w:tr>
      <w:tr>
        <w:tblPrEx>
          <w:tblCellMar>
            <w:top w:w="0" w:type="dxa"/>
            <w:left w:w="0" w:type="dxa"/>
            <w:bottom w:w="0" w:type="dxa"/>
            <w:right w:w="0" w:type="dxa"/>
          </w:tblCellMar>
        </w:tblPrEx>
        <w:trPr>
          <w:gridAfter w:val="2"/>
          <w:wAfter w:w="143" w:type="pct"/>
          <w:trHeight w:val="536" w:hRule="atLeast"/>
        </w:trPr>
        <w:tc>
          <w:tcPr>
            <w:tcW w:w="2716" w:type="pct"/>
            <w:gridSpan w:val="10"/>
            <w:tcBorders>
              <w:top w:val="nil"/>
              <w:left w:val="nil"/>
              <w:bottom w:val="nil"/>
              <w:right w:val="nil"/>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468" w:type="pct"/>
            <w:tcBorders>
              <w:top w:val="nil"/>
              <w:left w:val="nil"/>
              <w:bottom w:val="nil"/>
              <w:right w:val="nil"/>
            </w:tcBorders>
            <w:noWrap/>
            <w:tcMar>
              <w:top w:w="15" w:type="dxa"/>
              <w:left w:w="15" w:type="dxa"/>
              <w:right w:w="15" w:type="dxa"/>
            </w:tcMar>
            <w:vAlign w:val="top"/>
          </w:tcPr>
          <w:p>
            <w:pPr>
              <w:jc w:val="center"/>
              <w:rPr>
                <w:rFonts w:hint="eastAsia" w:hAnsi="宋体" w:cs="宋体"/>
                <w:b/>
                <w:color w:val="auto"/>
                <w:sz w:val="20"/>
                <w:szCs w:val="20"/>
                <w:highlight w:val="none"/>
              </w:rPr>
            </w:pPr>
          </w:p>
        </w:tc>
        <w:tc>
          <w:tcPr>
            <w:tcW w:w="368" w:type="pct"/>
            <w:gridSpan w:val="2"/>
            <w:tcBorders>
              <w:top w:val="nil"/>
              <w:left w:val="nil"/>
              <w:bottom w:val="nil"/>
              <w:right w:val="nil"/>
            </w:tcBorders>
            <w:noWrap/>
            <w:tcMar>
              <w:top w:w="15" w:type="dxa"/>
              <w:left w:w="15" w:type="dxa"/>
              <w:right w:w="15" w:type="dxa"/>
            </w:tcMar>
            <w:vAlign w:val="top"/>
          </w:tcPr>
          <w:p>
            <w:pPr>
              <w:jc w:val="center"/>
              <w:rPr>
                <w:rFonts w:hint="eastAsia" w:hAnsi="宋体" w:cs="宋体"/>
                <w:b/>
                <w:color w:val="auto"/>
                <w:sz w:val="20"/>
                <w:szCs w:val="20"/>
                <w:highlight w:val="none"/>
              </w:rPr>
            </w:pPr>
          </w:p>
        </w:tc>
        <w:tc>
          <w:tcPr>
            <w:tcW w:w="565" w:type="pct"/>
            <w:gridSpan w:val="2"/>
            <w:tcBorders>
              <w:top w:val="nil"/>
              <w:left w:val="nil"/>
              <w:bottom w:val="nil"/>
              <w:right w:val="nil"/>
            </w:tcBorders>
            <w:noWrap/>
            <w:tcMar>
              <w:top w:w="15" w:type="dxa"/>
              <w:left w:w="15" w:type="dxa"/>
              <w:right w:w="15" w:type="dxa"/>
            </w:tcMar>
            <w:vAlign w:val="top"/>
          </w:tcPr>
          <w:p>
            <w:pPr>
              <w:jc w:val="center"/>
              <w:rPr>
                <w:rFonts w:hint="eastAsia" w:hAnsi="宋体" w:cs="宋体"/>
                <w:b/>
                <w:color w:val="auto"/>
                <w:sz w:val="20"/>
                <w:szCs w:val="20"/>
                <w:highlight w:val="none"/>
              </w:rPr>
            </w:pPr>
          </w:p>
        </w:tc>
        <w:tc>
          <w:tcPr>
            <w:tcW w:w="737" w:type="pct"/>
            <w:gridSpan w:val="2"/>
            <w:tcBorders>
              <w:top w:val="nil"/>
              <w:left w:val="nil"/>
              <w:bottom w:val="nil"/>
              <w:right w:val="nil"/>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序号</w:t>
            </w:r>
          </w:p>
        </w:tc>
        <w:tc>
          <w:tcPr>
            <w:tcW w:w="243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名称或内容</w:t>
            </w:r>
          </w:p>
        </w:tc>
        <w:tc>
          <w:tcPr>
            <w:tcW w:w="46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有无</w:t>
            </w:r>
          </w:p>
        </w:tc>
        <w:tc>
          <w:tcPr>
            <w:tcW w:w="36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56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分项底稿      索引号</w:t>
            </w:r>
          </w:p>
        </w:tc>
        <w:tc>
          <w:tcPr>
            <w:tcW w:w="7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w:t>
            </w:r>
          </w:p>
        </w:tc>
        <w:tc>
          <w:tcPr>
            <w:tcW w:w="2435" w:type="pct"/>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项目操作人员配置一览表</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宋体" w:eastAsia="仿宋_GB2312" w:cs="仿宋_GB2312"/>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2</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3</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工程造价计算底稿</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4</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5</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工程现场查勘情况记录</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6</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7</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8</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材料（设备）价格信息电话询价记录表</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9</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材料（设备）价格信息供应商书面报价资料</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10</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详细复核记录</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11</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修改情况说明</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12</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13</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14</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15</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16</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550" w:hRule="atLeast"/>
        </w:trPr>
        <w:tc>
          <w:tcPr>
            <w:tcW w:w="2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17</w:t>
            </w:r>
          </w:p>
        </w:tc>
        <w:tc>
          <w:tcPr>
            <w:tcW w:w="2435"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36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56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c>
          <w:tcPr>
            <w:tcW w:w="73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730" w:hRule="atLeast"/>
        </w:trPr>
        <w:tc>
          <w:tcPr>
            <w:tcW w:w="4856" w:type="pct"/>
            <w:gridSpan w:val="17"/>
            <w:tcBorders>
              <w:top w:val="single" w:color="000000" w:sz="4" w:space="0"/>
              <w:left w:val="nil"/>
              <w:bottom w:val="nil"/>
              <w:right w:val="nil"/>
            </w:tcBorders>
            <w:noWrap w:val="0"/>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说明：</w:t>
            </w:r>
            <w:r>
              <w:rPr>
                <w:rFonts w:ascii="Times New Roman"/>
                <w:color w:val="auto"/>
                <w:sz w:val="20"/>
                <w:szCs w:val="20"/>
                <w:highlight w:val="none"/>
                <w:lang w:bidi="ar"/>
              </w:rPr>
              <w:t>1</w:t>
            </w:r>
            <w:r>
              <w:rPr>
                <w:rStyle w:val="105"/>
                <w:rFonts w:hint="default"/>
                <w:color w:val="auto"/>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tblPrEx>
          <w:tblCellMar>
            <w:top w:w="0" w:type="dxa"/>
            <w:left w:w="0" w:type="dxa"/>
            <w:bottom w:w="0" w:type="dxa"/>
            <w:right w:w="0" w:type="dxa"/>
          </w:tblCellMar>
        </w:tblPrEx>
        <w:trPr>
          <w:gridAfter w:val="2"/>
          <w:wAfter w:w="143" w:type="pct"/>
          <w:trHeight w:val="316" w:hRule="atLeast"/>
        </w:trPr>
        <w:tc>
          <w:tcPr>
            <w:tcW w:w="280" w:type="pct"/>
            <w:tcBorders>
              <w:top w:val="nil"/>
              <w:left w:val="nil"/>
              <w:bottom w:val="nil"/>
              <w:right w:val="nil"/>
            </w:tcBorders>
            <w:noWrap w:val="0"/>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jc w:val="center"/>
              <w:rPr>
                <w:rFonts w:hint="eastAsia" w:hAnsi="宋体" w:cs="宋体"/>
                <w:color w:val="auto"/>
                <w:sz w:val="20"/>
                <w:szCs w:val="20"/>
                <w:highlight w:val="none"/>
              </w:rPr>
            </w:pPr>
          </w:p>
        </w:tc>
        <w:tc>
          <w:tcPr>
            <w:tcW w:w="4575" w:type="pct"/>
            <w:gridSpan w:val="16"/>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sz w:val="20"/>
                <w:szCs w:val="20"/>
                <w:highlight w:val="none"/>
              </w:rPr>
            </w:pPr>
            <w:r>
              <w:rPr>
                <w:rFonts w:ascii="Times New Roman"/>
                <w:color w:val="auto"/>
                <w:sz w:val="20"/>
                <w:szCs w:val="20"/>
                <w:highlight w:val="none"/>
                <w:lang w:bidi="ar"/>
              </w:rPr>
              <w:t>2</w:t>
            </w:r>
            <w:r>
              <w:rPr>
                <w:rStyle w:val="105"/>
                <w:rFonts w:hint="default"/>
                <w:color w:val="auto"/>
                <w:highlight w:val="none"/>
                <w:lang w:bidi="ar"/>
              </w:rPr>
              <w:t>、备查资料应附在工作手册后半部分内，并确定索引号，如</w:t>
            </w:r>
            <w:r>
              <w:rPr>
                <w:rFonts w:ascii="Times New Roman"/>
                <w:color w:val="auto"/>
                <w:sz w:val="20"/>
                <w:szCs w:val="20"/>
                <w:highlight w:val="none"/>
                <w:lang w:bidi="ar"/>
              </w:rPr>
              <w:t>2-3-1</w:t>
            </w:r>
            <w:r>
              <w:rPr>
                <w:rStyle w:val="105"/>
                <w:rFonts w:hint="default"/>
                <w:color w:val="auto"/>
                <w:highlight w:val="none"/>
                <w:lang w:bidi="ar"/>
              </w:rPr>
              <w:t>。</w:t>
            </w:r>
          </w:p>
        </w:tc>
      </w:tr>
      <w:tr>
        <w:tblPrEx>
          <w:tblCellMar>
            <w:top w:w="0" w:type="dxa"/>
            <w:left w:w="0" w:type="dxa"/>
            <w:bottom w:w="0" w:type="dxa"/>
            <w:right w:w="0" w:type="dxa"/>
          </w:tblCellMar>
        </w:tblPrEx>
        <w:trPr>
          <w:gridAfter w:val="2"/>
          <w:wAfter w:w="143" w:type="pct"/>
          <w:trHeight w:val="244" w:hRule="atLeast"/>
        </w:trPr>
        <w:tc>
          <w:tcPr>
            <w:tcW w:w="280" w:type="pct"/>
            <w:tcBorders>
              <w:top w:val="nil"/>
              <w:left w:val="nil"/>
              <w:bottom w:val="nil"/>
              <w:right w:val="nil"/>
            </w:tcBorders>
            <w:noWrap w:val="0"/>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jc w:val="center"/>
              <w:rPr>
                <w:rFonts w:hint="eastAsia" w:hAnsi="宋体" w:cs="宋体"/>
                <w:color w:val="auto"/>
                <w:sz w:val="20"/>
                <w:szCs w:val="20"/>
                <w:highlight w:val="none"/>
              </w:rPr>
            </w:pPr>
          </w:p>
        </w:tc>
        <w:tc>
          <w:tcPr>
            <w:tcW w:w="2435" w:type="pct"/>
            <w:gridSpan w:val="9"/>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textAlignment w:val="bottom"/>
              <w:rPr>
                <w:rFonts w:ascii="Times New Roman"/>
                <w:color w:val="auto"/>
                <w:sz w:val="20"/>
                <w:szCs w:val="20"/>
                <w:highlight w:val="none"/>
              </w:rPr>
            </w:pPr>
            <w:r>
              <w:rPr>
                <w:rFonts w:ascii="Times New Roman"/>
                <w:color w:val="auto"/>
                <w:sz w:val="20"/>
                <w:szCs w:val="20"/>
                <w:highlight w:val="none"/>
                <w:lang w:bidi="ar"/>
              </w:rPr>
              <w:t>3</w:t>
            </w:r>
            <w:r>
              <w:rPr>
                <w:rStyle w:val="105"/>
                <w:rFonts w:hint="default"/>
                <w:color w:val="auto"/>
                <w:highlight w:val="none"/>
                <w:lang w:bidi="ar"/>
              </w:rPr>
              <w:t>、有无该项资料可在相应列中打钩。</w:t>
            </w:r>
          </w:p>
        </w:tc>
        <w:tc>
          <w:tcPr>
            <w:tcW w:w="468" w:type="pct"/>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sz w:val="20"/>
                <w:szCs w:val="20"/>
                <w:highlight w:val="none"/>
              </w:rPr>
            </w:pPr>
          </w:p>
        </w:tc>
        <w:tc>
          <w:tcPr>
            <w:tcW w:w="368" w:type="pct"/>
            <w:gridSpan w:val="2"/>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sz w:val="20"/>
                <w:szCs w:val="20"/>
                <w:highlight w:val="none"/>
              </w:rPr>
            </w:pPr>
          </w:p>
        </w:tc>
        <w:tc>
          <w:tcPr>
            <w:tcW w:w="565" w:type="pct"/>
            <w:gridSpan w:val="2"/>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sz w:val="20"/>
                <w:szCs w:val="20"/>
                <w:highlight w:val="none"/>
              </w:rPr>
            </w:pPr>
          </w:p>
        </w:tc>
        <w:tc>
          <w:tcPr>
            <w:tcW w:w="737" w:type="pct"/>
            <w:gridSpan w:val="2"/>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sz w:val="20"/>
                <w:szCs w:val="20"/>
                <w:highlight w:val="none"/>
              </w:rPr>
            </w:pPr>
          </w:p>
        </w:tc>
      </w:tr>
      <w:tr>
        <w:tblPrEx>
          <w:tblCellMar>
            <w:top w:w="0" w:type="dxa"/>
            <w:left w:w="0" w:type="dxa"/>
            <w:bottom w:w="0" w:type="dxa"/>
            <w:right w:w="0" w:type="dxa"/>
          </w:tblCellMar>
        </w:tblPrEx>
        <w:trPr>
          <w:gridAfter w:val="2"/>
          <w:wAfter w:w="143" w:type="pct"/>
          <w:trHeight w:val="316" w:hRule="atLeast"/>
        </w:trPr>
        <w:tc>
          <w:tcPr>
            <w:tcW w:w="280" w:type="pct"/>
            <w:tcBorders>
              <w:top w:val="nil"/>
              <w:left w:val="nil"/>
              <w:bottom w:val="nil"/>
              <w:right w:val="nil"/>
            </w:tcBorders>
            <w:noWrap w:val="0"/>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jc w:val="center"/>
              <w:rPr>
                <w:rFonts w:hint="eastAsia" w:hAnsi="宋体" w:cs="宋体"/>
                <w:color w:val="auto"/>
                <w:highlight w:val="none"/>
              </w:rPr>
            </w:pPr>
          </w:p>
        </w:tc>
        <w:tc>
          <w:tcPr>
            <w:tcW w:w="4575" w:type="pct"/>
            <w:gridSpan w:val="16"/>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rPr>
                <w:rFonts w:hint="eastAsia" w:hAnsi="宋体" w:cs="宋体"/>
                <w:color w:val="auto"/>
                <w:highlight w:val="none"/>
              </w:rPr>
            </w:pPr>
            <w:r>
              <w:rPr>
                <w:rFonts w:ascii="Times New Roman"/>
                <w:color w:val="auto"/>
                <w:sz w:val="20"/>
                <w:szCs w:val="20"/>
                <w:highlight w:val="none"/>
                <w:lang w:bidi="ar"/>
              </w:rPr>
              <w:t>4</w:t>
            </w:r>
            <w:r>
              <w:rPr>
                <w:rStyle w:val="105"/>
                <w:rFonts w:hint="default"/>
                <w:color w:val="auto"/>
                <w:highlight w:val="none"/>
                <w:lang w:bidi="ar"/>
              </w:rPr>
              <w:t>、工程量计算底稿如使用专用软件计算的，只打印分楼层分部位的汇总表，不需打印构件明细表。</w:t>
            </w:r>
          </w:p>
        </w:tc>
      </w:tr>
      <w:tr>
        <w:tblPrEx>
          <w:tblCellMar>
            <w:top w:w="0" w:type="dxa"/>
            <w:left w:w="0" w:type="dxa"/>
            <w:bottom w:w="0" w:type="dxa"/>
            <w:right w:w="0" w:type="dxa"/>
          </w:tblCellMar>
        </w:tblPrEx>
        <w:trPr>
          <w:trHeight w:val="340" w:hRule="atLeast"/>
        </w:trPr>
        <w:tc>
          <w:tcPr>
            <w:tcW w:w="5000" w:type="pct"/>
            <w:gridSpan w:val="19"/>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中介咨询机构自我评价意见表</w:t>
            </w:r>
          </w:p>
        </w:tc>
      </w:tr>
      <w:tr>
        <w:tblPrEx>
          <w:tblCellMar>
            <w:top w:w="0" w:type="dxa"/>
            <w:left w:w="0" w:type="dxa"/>
            <w:bottom w:w="0" w:type="dxa"/>
            <w:right w:w="0" w:type="dxa"/>
          </w:tblCellMar>
        </w:tblPrEx>
        <w:trPr>
          <w:trHeight w:val="340" w:hRule="atLeast"/>
        </w:trPr>
        <w:tc>
          <w:tcPr>
            <w:tcW w:w="1452" w:type="pct"/>
            <w:gridSpan w:val="7"/>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955" w:type="pct"/>
            <w:gridSpan w:val="2"/>
            <w:tcBorders>
              <w:top w:val="nil"/>
              <w:left w:val="nil"/>
              <w:bottom w:val="nil"/>
              <w:right w:val="nil"/>
            </w:tcBorders>
            <w:noWrap/>
            <w:tcMar>
              <w:top w:w="15" w:type="dxa"/>
              <w:left w:w="15" w:type="dxa"/>
              <w:right w:w="15" w:type="dxa"/>
            </w:tcMar>
            <w:vAlign w:val="top"/>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866" w:type="pct"/>
            <w:gridSpan w:val="3"/>
            <w:tcBorders>
              <w:top w:val="nil"/>
              <w:left w:val="nil"/>
              <w:bottom w:val="nil"/>
              <w:right w:val="nil"/>
            </w:tcBorders>
            <w:noWrap/>
            <w:tcMar>
              <w:top w:w="15" w:type="dxa"/>
              <w:left w:w="15" w:type="dxa"/>
              <w:right w:w="15" w:type="dxa"/>
            </w:tcMar>
            <w:vAlign w:val="top"/>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844" w:type="pct"/>
            <w:gridSpan w:val="3"/>
            <w:tcBorders>
              <w:top w:val="nil"/>
              <w:left w:val="nil"/>
              <w:bottom w:val="nil"/>
              <w:right w:val="nil"/>
            </w:tcBorders>
            <w:noWrap/>
            <w:tcMar>
              <w:top w:w="15" w:type="dxa"/>
              <w:left w:w="15" w:type="dxa"/>
              <w:right w:w="15" w:type="dxa"/>
            </w:tcMar>
            <w:vAlign w:val="top"/>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574" w:type="pct"/>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spacing w:line="120" w:lineRule="auto"/>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306" w:type="pct"/>
            <w:gridSpan w:val="3"/>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1933"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866" w:type="pct"/>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1725"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tblPrEx>
          <w:tblCellMar>
            <w:top w:w="0" w:type="dxa"/>
            <w:left w:w="0" w:type="dxa"/>
            <w:bottom w:w="0" w:type="dxa"/>
            <w:right w:w="0" w:type="dxa"/>
          </w:tblCellMar>
        </w:tblPrEx>
        <w:trPr>
          <w:trHeight w:val="340" w:hRule="atLeast"/>
        </w:trPr>
        <w:tc>
          <w:tcPr>
            <w:tcW w:w="47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977"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955" w:type="pct"/>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866" w:type="pct"/>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right"/>
              <w:rPr>
                <w:rFonts w:hint="eastAsia" w:hAnsi="宋体" w:cs="宋体"/>
                <w:color w:val="auto"/>
                <w:sz w:val="18"/>
                <w:szCs w:val="18"/>
                <w:highlight w:val="none"/>
              </w:rPr>
            </w:pPr>
          </w:p>
        </w:tc>
        <w:tc>
          <w:tcPr>
            <w:tcW w:w="1725"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tblPrEx>
          <w:tblCellMar>
            <w:top w:w="0" w:type="dxa"/>
            <w:left w:w="0" w:type="dxa"/>
            <w:bottom w:w="0" w:type="dxa"/>
            <w:right w:w="0" w:type="dxa"/>
          </w:tblCellMar>
        </w:tblPrEx>
        <w:trPr>
          <w:trHeight w:val="340" w:hRule="atLeast"/>
        </w:trPr>
        <w:tc>
          <w:tcPr>
            <w:tcW w:w="47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264" w:type="pct"/>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体</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内</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容</w:t>
            </w:r>
          </w:p>
        </w:tc>
        <w:tc>
          <w:tcPr>
            <w:tcW w:w="306"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评分</w:t>
            </w:r>
          </w:p>
        </w:tc>
      </w:tr>
      <w:tr>
        <w:tblPrEx>
          <w:tblCellMar>
            <w:top w:w="0" w:type="dxa"/>
            <w:left w:w="0" w:type="dxa"/>
            <w:bottom w:w="0" w:type="dxa"/>
            <w:right w:w="0" w:type="dxa"/>
          </w:tblCellMar>
        </w:tblPrEx>
        <w:trPr>
          <w:trHeight w:val="340" w:hRule="atLeast"/>
        </w:trPr>
        <w:tc>
          <w:tcPr>
            <w:tcW w:w="47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26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项目配置的相应专业人员在市援建工程管理处备案，且业务能力较强，熟练掌握相应专业计价规范的最高得4分；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能积极主动提出优化设计方案以及加强项目管理的合理化建议的最高得2分；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26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30</w:t>
            </w: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项目小组对项目需求有较好的理解，满足造价咨询招标文件、合同文件的服务响应要求的最高得</w:t>
            </w:r>
            <w:r>
              <w:rPr>
                <w:rFonts w:ascii="Times New Roman"/>
                <w:color w:val="auto"/>
                <w:sz w:val="18"/>
                <w:szCs w:val="18"/>
                <w:highlight w:val="none"/>
                <w:lang w:bidi="ar"/>
              </w:rPr>
              <w:t>6</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ascii="Times New Roman"/>
                <w:color w:val="auto"/>
                <w:sz w:val="18"/>
                <w:szCs w:val="18"/>
                <w:highlight w:val="none"/>
                <w:lang w:bidi="ar"/>
              </w:rPr>
              <w:t>6</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ascii="Times New Roman"/>
                <w:color w:val="auto"/>
                <w:sz w:val="18"/>
                <w:szCs w:val="18"/>
                <w:highlight w:val="none"/>
                <w:lang w:bidi="ar"/>
              </w:rPr>
              <w:t>6</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ascii="Times New Roman"/>
                <w:color w:val="auto"/>
                <w:sz w:val="18"/>
                <w:szCs w:val="18"/>
                <w:highlight w:val="none"/>
                <w:lang w:bidi="ar"/>
              </w:rPr>
              <w:t>5</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ascii="Times New Roman"/>
                <w:color w:val="auto"/>
                <w:sz w:val="18"/>
                <w:szCs w:val="18"/>
                <w:highlight w:val="none"/>
                <w:lang w:bidi="ar"/>
              </w:rPr>
              <w:t>7</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26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25</w:t>
            </w:r>
          </w:p>
        </w:tc>
        <w:tc>
          <w:tcPr>
            <w:tcW w:w="3954"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及时领取委托人的资料开展咨询活动的最高得4分；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ascii="Times New Roman"/>
                <w:color w:val="auto"/>
                <w:sz w:val="18"/>
                <w:szCs w:val="18"/>
                <w:highlight w:val="none"/>
                <w:lang w:bidi="ar"/>
              </w:rPr>
              <w:t>3</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能严格按委托人的计划时间完成咨询任务的最高得8分。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26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严格按有关行业规范、工作规程和财政管理要求开展咨询活动的最高得5分；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认真执行对数操作规程、现场查勘操作规程的最高得5分；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ascii="Times New Roman"/>
                <w:color w:val="auto"/>
                <w:sz w:val="18"/>
                <w:szCs w:val="18"/>
                <w:highlight w:val="none"/>
                <w:lang w:bidi="ar"/>
              </w:rPr>
              <w:t>3</w:t>
            </w:r>
            <w:r>
              <w:rPr>
                <w:rFonts w:hint="eastAsia" w:hAnsi="宋体" w:cs="宋体"/>
                <w:color w:val="auto"/>
                <w:sz w:val="18"/>
                <w:szCs w:val="18"/>
                <w:highlight w:val="none"/>
                <w:lang w:bidi="ar"/>
              </w:rPr>
              <w:t>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26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ascii="Times New Roman"/>
                <w:color w:val="auto"/>
                <w:sz w:val="18"/>
                <w:szCs w:val="18"/>
                <w:highlight w:val="none"/>
                <w:lang w:bidi="ar"/>
              </w:rPr>
              <w:t>5</w:t>
            </w:r>
            <w:r>
              <w:rPr>
                <w:rFonts w:hint="eastAsia" w:hAnsi="宋体" w:cs="宋体"/>
                <w:color w:val="auto"/>
                <w:sz w:val="18"/>
                <w:szCs w:val="18"/>
                <w:highlight w:val="none"/>
                <w:lang w:bidi="ar"/>
              </w:rPr>
              <w:t>分，有不符合规定行为的不得分；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ascii="Times New Roman"/>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ascii="Times New Roman"/>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26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54" w:type="pct"/>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ascii="Times New Roman"/>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693" w:type="pct"/>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30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trHeight w:val="340" w:hRule="atLeast"/>
        </w:trPr>
        <w:tc>
          <w:tcPr>
            <w:tcW w:w="47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977"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955"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866"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84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574" w:type="pct"/>
            <w:tcBorders>
              <w:top w:val="single" w:color="000000" w:sz="4" w:space="0"/>
              <w:left w:val="nil"/>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c>
          <w:tcPr>
            <w:tcW w:w="306"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579" w:hRule="atLeast"/>
        </w:trPr>
        <w:tc>
          <w:tcPr>
            <w:tcW w:w="4992" w:type="pct"/>
            <w:gridSpan w:val="18"/>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建设单位咨询项目评价意见表</w:t>
            </w:r>
          </w:p>
        </w:tc>
      </w:tr>
      <w:tr>
        <w:tblPrEx>
          <w:tblCellMar>
            <w:top w:w="0" w:type="dxa"/>
            <w:left w:w="0" w:type="dxa"/>
            <w:bottom w:w="0" w:type="dxa"/>
            <w:right w:w="0" w:type="dxa"/>
          </w:tblCellMar>
        </w:tblPrEx>
        <w:trPr>
          <w:gridAfter w:val="1"/>
          <w:wAfter w:w="7" w:type="pct"/>
          <w:trHeight w:val="91" w:hRule="atLeast"/>
        </w:trPr>
        <w:tc>
          <w:tcPr>
            <w:tcW w:w="1450" w:type="pct"/>
            <w:gridSpan w:val="6"/>
            <w:tcBorders>
              <w:top w:val="nil"/>
              <w:left w:val="nil"/>
              <w:bottom w:val="single" w:color="000000" w:sz="4" w:space="0"/>
              <w:right w:val="nil"/>
            </w:tcBorders>
            <w:noWrap w:val="0"/>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spacing w:line="120" w:lineRule="auto"/>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建设单位名称（盖章）：</w:t>
            </w:r>
          </w:p>
        </w:tc>
        <w:tc>
          <w:tcPr>
            <w:tcW w:w="838" w:type="pct"/>
            <w:gridSpan w:val="2"/>
            <w:tcBorders>
              <w:top w:val="nil"/>
              <w:left w:val="nil"/>
              <w:bottom w:val="nil"/>
              <w:right w:val="nil"/>
            </w:tcBorders>
            <w:noWrap/>
            <w:tcMar>
              <w:top w:w="15" w:type="dxa"/>
              <w:left w:w="15" w:type="dxa"/>
              <w:right w:w="15" w:type="dxa"/>
            </w:tcMar>
            <w:vAlign w:val="top"/>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895" w:type="pct"/>
            <w:gridSpan w:val="3"/>
            <w:tcBorders>
              <w:top w:val="nil"/>
              <w:left w:val="nil"/>
              <w:bottom w:val="nil"/>
              <w:right w:val="nil"/>
            </w:tcBorders>
            <w:noWrap/>
            <w:tcMar>
              <w:top w:w="15" w:type="dxa"/>
              <w:left w:w="15" w:type="dxa"/>
              <w:right w:w="15" w:type="dxa"/>
            </w:tcMar>
            <w:vAlign w:val="top"/>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924" w:type="pct"/>
            <w:gridSpan w:val="3"/>
            <w:tcBorders>
              <w:top w:val="nil"/>
              <w:left w:val="nil"/>
              <w:bottom w:val="nil"/>
              <w:right w:val="nil"/>
            </w:tcBorders>
            <w:noWrap/>
            <w:tcMar>
              <w:top w:w="15" w:type="dxa"/>
              <w:left w:w="15" w:type="dxa"/>
              <w:right w:w="15" w:type="dxa"/>
            </w:tcMar>
            <w:vAlign w:val="top"/>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b/>
                <w:color w:val="auto"/>
                <w:sz w:val="18"/>
                <w:szCs w:val="18"/>
                <w:highlight w:val="none"/>
              </w:rPr>
            </w:pPr>
          </w:p>
        </w:tc>
        <w:tc>
          <w:tcPr>
            <w:tcW w:w="583" w:type="pct"/>
            <w:gridSpan w:val="2"/>
            <w:tcBorders>
              <w:top w:val="nil"/>
              <w:left w:val="nil"/>
              <w:bottom w:val="nil"/>
              <w:right w:val="nil"/>
            </w:tcBorders>
            <w:noWrap/>
            <w:tcMar>
              <w:top w:w="15" w:type="dxa"/>
              <w:left w:w="15" w:type="dxa"/>
              <w:right w:w="15" w:type="dxa"/>
            </w:tcMar>
            <w:vAlign w:val="bottom"/>
          </w:tcPr>
          <w:p>
            <w:pPr>
              <w:keepNext w:val="0"/>
              <w:keepLines w:val="0"/>
              <w:pageBreakBefore w:val="0"/>
              <w:widowControl/>
              <w:kinsoku/>
              <w:wordWrap/>
              <w:overflowPunct/>
              <w:topLinePunct w:val="0"/>
              <w:autoSpaceDE w:val="0"/>
              <w:autoSpaceDN w:val="0"/>
              <w:bidi w:val="0"/>
              <w:adjustRightInd w:val="0"/>
              <w:snapToGrid/>
              <w:spacing w:line="120" w:lineRule="auto"/>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99" w:type="pct"/>
            <w:gridSpan w:val="2"/>
            <w:tcBorders>
              <w:top w:val="nil"/>
              <w:left w:val="nil"/>
              <w:bottom w:val="nil"/>
              <w:right w:val="nil"/>
            </w:tcBorders>
            <w:noWrap/>
            <w:tcMar>
              <w:top w:w="15" w:type="dxa"/>
              <w:left w:w="15" w:type="dxa"/>
              <w:right w:w="15" w:type="dxa"/>
            </w:tcMar>
            <w:vAlign w:val="bottom"/>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1813" w:type="pct"/>
            <w:gridSpan w:val="5"/>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895"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工程造价咨询单位</w:t>
            </w:r>
          </w:p>
        </w:tc>
        <w:tc>
          <w:tcPr>
            <w:tcW w:w="1808"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97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838" w:type="pct"/>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895" w:type="pct"/>
            <w:gridSpan w:val="3"/>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right"/>
              <w:rPr>
                <w:rFonts w:hint="eastAsia" w:hAnsi="宋体" w:cs="宋体"/>
                <w:color w:val="auto"/>
                <w:sz w:val="18"/>
                <w:szCs w:val="18"/>
                <w:highlight w:val="none"/>
              </w:rPr>
            </w:pPr>
          </w:p>
        </w:tc>
        <w:tc>
          <w:tcPr>
            <w:tcW w:w="1808"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tblPrEx>
          <w:tblCellMar>
            <w:top w:w="0" w:type="dxa"/>
            <w:left w:w="0" w:type="dxa"/>
            <w:bottom w:w="0" w:type="dxa"/>
            <w:right w:w="0" w:type="dxa"/>
          </w:tblCellMar>
        </w:tblPrEx>
        <w:trPr>
          <w:gridAfter w:val="1"/>
          <w:wAfter w:w="7" w:type="pct"/>
          <w:trHeight w:val="91" w:hRule="atLeast"/>
        </w:trPr>
        <w:tc>
          <w:tcPr>
            <w:tcW w:w="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268" w:type="pct"/>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体</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内</w:t>
            </w:r>
            <w:r>
              <w:rPr>
                <w:rFonts w:ascii="Times New Roman"/>
                <w:color w:val="auto"/>
                <w:sz w:val="18"/>
                <w:szCs w:val="18"/>
                <w:highlight w:val="none"/>
                <w:lang w:bidi="ar"/>
              </w:rPr>
              <w:t xml:space="preserve">  </w:t>
            </w:r>
            <w:r>
              <w:rPr>
                <w:rFonts w:hint="eastAsia" w:hAnsi="宋体" w:cs="宋体"/>
                <w:color w:val="auto"/>
                <w:sz w:val="18"/>
                <w:szCs w:val="18"/>
                <w:highlight w:val="none"/>
                <w:lang w:bidi="ar"/>
              </w:rPr>
              <w:t>容</w:t>
            </w:r>
          </w:p>
        </w:tc>
        <w:tc>
          <w:tcPr>
            <w:tcW w:w="299"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评分</w:t>
            </w:r>
          </w:p>
        </w:tc>
      </w:tr>
      <w:tr>
        <w:tblPrEx>
          <w:tblCellMar>
            <w:top w:w="0" w:type="dxa"/>
            <w:left w:w="0" w:type="dxa"/>
            <w:bottom w:w="0" w:type="dxa"/>
            <w:right w:w="0" w:type="dxa"/>
          </w:tblCellMar>
        </w:tblPrEx>
        <w:trPr>
          <w:gridAfter w:val="1"/>
          <w:wAfter w:w="7" w:type="pct"/>
          <w:trHeight w:val="91" w:hRule="atLeast"/>
        </w:trPr>
        <w:tc>
          <w:tcPr>
            <w:tcW w:w="475"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业务水平</w:t>
            </w:r>
          </w:p>
        </w:tc>
        <w:tc>
          <w:tcPr>
            <w:tcW w:w="268"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项目配置的相应专业人员在市援建工程管理处备案，且业务能力较强，熟练掌握相应专业计价规范的最高得4分；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积极主动与委托人一起解决咨询问题的最高得3分；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能积极主动提出优化设计方案以及加强项目管理的合理化建议的最高得2分；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对项目所取用的技术、工艺、设备等比较了解的最高得4分；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能开展市场调查，了解价格信息，对于非常规项目能作工料单价分析的最高得2分。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完成质量</w:t>
            </w:r>
          </w:p>
        </w:tc>
        <w:tc>
          <w:tcPr>
            <w:tcW w:w="268"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30</w:t>
            </w: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项目小组对项目需求有较好的理解，满足造价咨询招标文件、合同文件的服务响应要求的最高得6分；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工程量计算准确，套用定额及计费程序正确合理，材料价格选取恰当的最高得6分；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对设计文件不清晰的内容，能要求委托人澄清，不存在主观臆断的最高得6分；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表格之间沟稽关系正确，咨询成果文件（说明书）真实、完整、准确、有条理的最高得5分；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工作质量良好，无重大的主观差错率的最高得7分。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工作效率</w:t>
            </w:r>
          </w:p>
        </w:tc>
        <w:tc>
          <w:tcPr>
            <w:tcW w:w="268"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25</w:t>
            </w:r>
          </w:p>
        </w:tc>
        <w:tc>
          <w:tcPr>
            <w:tcW w:w="3949" w:type="pct"/>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按操作规程及时进行对数、现场查勘的最高得3分；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对数后做到及时修改，对反馈意见及时核实的最高得5分；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及时通知委托人补充相关资料，澄清有关疑问的最高得5分；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能严格按委托人的计划时间完成咨询任务的最高得8分。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规范服务</w:t>
            </w:r>
          </w:p>
        </w:tc>
        <w:tc>
          <w:tcPr>
            <w:tcW w:w="268"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认真执行对数操作规程、现场查勘操作规程的最高得5分；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能实行三级复核制度的最高得3分。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职业道德评价</w:t>
            </w:r>
          </w:p>
        </w:tc>
        <w:tc>
          <w:tcPr>
            <w:tcW w:w="268"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15</w:t>
            </w: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严格遵守有关廉政建设规定，与委托人和其利益相对人有利害关系的能主动回避；满足要求得5分，有不符合规定行为的不得分；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自觉维护国家利益，做到诚信、客观、公平、公正；满足要求得4分，有不符合规定行为的不得分；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没有未经委托人允许擅自与委托人的利益相对人联系工作事宜的得3分，有此行为的不得分；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p>
        </w:tc>
        <w:tc>
          <w:tcPr>
            <w:tcW w:w="268"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3949" w:type="pct"/>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独立完成咨询任务，没有未经委托人允许擅自委托第三方从事咨询活动的得3分，有此行为的不得分。</w:t>
            </w:r>
          </w:p>
        </w:tc>
        <w:tc>
          <w:tcPr>
            <w:tcW w:w="29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693" w:type="pct"/>
            <w:gridSpan w:val="1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合计</w:t>
            </w:r>
          </w:p>
        </w:tc>
        <w:tc>
          <w:tcPr>
            <w:tcW w:w="299" w:type="pct"/>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进度与质量处理建议</w:t>
            </w:r>
          </w:p>
        </w:tc>
        <w:tc>
          <w:tcPr>
            <w:tcW w:w="4516" w:type="pct"/>
            <w:gridSpan w:val="1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both"/>
              <w:rPr>
                <w:rFonts w:hint="eastAsia" w:hAnsi="宋体" w:cs="宋体"/>
                <w:color w:val="auto"/>
                <w:sz w:val="18"/>
                <w:szCs w:val="18"/>
                <w:highlight w:val="none"/>
              </w:rPr>
            </w:pPr>
          </w:p>
        </w:tc>
      </w:tr>
      <w:tr>
        <w:tblPrEx>
          <w:tblCellMar>
            <w:top w:w="0" w:type="dxa"/>
            <w:left w:w="0" w:type="dxa"/>
            <w:bottom w:w="0" w:type="dxa"/>
            <w:right w:w="0" w:type="dxa"/>
          </w:tblCellMar>
        </w:tblPrEx>
        <w:trPr>
          <w:gridAfter w:val="1"/>
          <w:wAfter w:w="7" w:type="pct"/>
          <w:trHeight w:val="91" w:hRule="atLeast"/>
        </w:trPr>
        <w:tc>
          <w:tcPr>
            <w:tcW w:w="47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97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838"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895"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c>
          <w:tcPr>
            <w:tcW w:w="92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12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88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val="0"/>
              <w:snapToGrid/>
              <w:spacing w:line="120" w:lineRule="auto"/>
              <w:jc w:val="center"/>
              <w:rPr>
                <w:rFonts w:hint="eastAsia" w:hAnsi="宋体" w:cs="宋体"/>
                <w:color w:val="auto"/>
                <w:sz w:val="18"/>
                <w:szCs w:val="18"/>
                <w:highlight w:val="none"/>
              </w:rPr>
            </w:pPr>
          </w:p>
        </w:tc>
      </w:tr>
    </w:tbl>
    <w:p>
      <w:pPr>
        <w:rPr>
          <w:rFonts w:hint="eastAsia" w:hAnsi="宋体"/>
          <w:b/>
          <w:color w:val="auto"/>
          <w:sz w:val="21"/>
          <w:szCs w:val="21"/>
          <w:highlight w:val="none"/>
        </w:rPr>
      </w:pPr>
      <w:r>
        <w:rPr>
          <w:rFonts w:hint="eastAsia" w:hAnsi="宋体"/>
          <w:b/>
          <w:color w:val="auto"/>
          <w:sz w:val="21"/>
          <w:szCs w:val="21"/>
          <w:highlight w:val="none"/>
        </w:rPr>
        <w:br w:type="page"/>
      </w:r>
    </w:p>
    <w:p>
      <w:pPr>
        <w:rPr>
          <w:rFonts w:hint="eastAsia" w:hAnsi="宋体"/>
          <w:b/>
          <w:color w:val="auto"/>
          <w:szCs w:val="21"/>
          <w:highlight w:val="none"/>
        </w:rPr>
      </w:pPr>
      <w:r>
        <w:rPr>
          <w:rFonts w:hint="eastAsia" w:hAnsi="宋体"/>
          <w:b/>
          <w:color w:val="auto"/>
          <w:sz w:val="21"/>
          <w:szCs w:val="21"/>
          <w:highlight w:val="none"/>
        </w:rPr>
        <w:t>附件</w:t>
      </w:r>
      <w:r>
        <w:rPr>
          <w:rFonts w:hint="eastAsia" w:hAnsi="宋体"/>
          <w:b/>
          <w:color w:val="auto"/>
          <w:sz w:val="21"/>
          <w:szCs w:val="21"/>
          <w:highlight w:val="none"/>
          <w:lang w:val="en-US" w:eastAsia="zh-CN"/>
        </w:rPr>
        <w:t>7</w:t>
      </w:r>
      <w:r>
        <w:rPr>
          <w:rFonts w:hint="eastAsia" w:hAnsi="宋体"/>
          <w:b/>
          <w:color w:val="auto"/>
          <w:sz w:val="21"/>
          <w:szCs w:val="21"/>
          <w:highlight w:val="none"/>
        </w:rPr>
        <w:t>：不可撤销履约保函</w:t>
      </w:r>
    </w:p>
    <w:p>
      <w:pPr>
        <w:widowControl/>
        <w:spacing w:line="240" w:lineRule="exact"/>
        <w:rPr>
          <w:rFonts w:hint="eastAsia" w:hAnsi="宋体"/>
          <w:b/>
          <w:color w:val="auto"/>
          <w:szCs w:val="21"/>
          <w:highlight w:val="none"/>
        </w:rPr>
      </w:pPr>
    </w:p>
    <w:p>
      <w:pPr>
        <w:spacing w:line="360" w:lineRule="auto"/>
        <w:ind w:firstLine="560" w:firstLineChars="200"/>
        <w:jc w:val="center"/>
        <w:rPr>
          <w:b/>
          <w:color w:val="auto"/>
          <w:szCs w:val="21"/>
          <w:highlight w:val="none"/>
        </w:rPr>
      </w:pPr>
      <w:r>
        <w:rPr>
          <w:rFonts w:hint="eastAsia" w:hAnsi="宋体"/>
          <w:b/>
          <w:bCs/>
          <w:color w:val="auto"/>
          <w:sz w:val="28"/>
          <w:highlight w:val="none"/>
        </w:rPr>
        <w:t>不可撤销履约保函（示范文）</w:t>
      </w:r>
    </w:p>
    <w:p>
      <w:pPr>
        <w:ind w:firstLine="6300"/>
        <w:rPr>
          <w:rFonts w:hint="eastAsia" w:hAnsi="宋体"/>
          <w:color w:val="auto"/>
          <w:sz w:val="21"/>
          <w:szCs w:val="21"/>
          <w:highlight w:val="none"/>
          <w:u w:val="single"/>
        </w:rPr>
      </w:pPr>
      <w:r>
        <w:rPr>
          <w:rFonts w:hint="eastAsia" w:hAnsi="宋体"/>
          <w:color w:val="auto"/>
          <w:sz w:val="21"/>
          <w:szCs w:val="21"/>
          <w:highlight w:val="none"/>
        </w:rPr>
        <w:t>保函编号：</w:t>
      </w:r>
      <w:r>
        <w:rPr>
          <w:rFonts w:hint="eastAsia" w:hAnsi="宋体"/>
          <w:color w:val="auto"/>
          <w:sz w:val="21"/>
          <w:szCs w:val="21"/>
          <w:highlight w:val="none"/>
          <w:u w:val="single"/>
        </w:rPr>
        <w:t xml:space="preserve">             </w:t>
      </w:r>
    </w:p>
    <w:p>
      <w:pPr>
        <w:spacing w:line="360" w:lineRule="auto"/>
        <w:jc w:val="center"/>
        <w:rPr>
          <w:rFonts w:hint="eastAsia" w:hAnsi="宋体" w:cs="宋体"/>
          <w:color w:val="auto"/>
          <w:sz w:val="21"/>
          <w:szCs w:val="21"/>
          <w:highlight w:val="none"/>
        </w:rPr>
      </w:pPr>
    </w:p>
    <w:p>
      <w:pPr>
        <w:spacing w:before="100" w:beforeAutospacing="1" w:after="100" w:afterAutospacing="1" w:line="360" w:lineRule="auto"/>
        <w:contextualSpacing/>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（发包人的名称）  </w:t>
      </w:r>
      <w:r>
        <w:rPr>
          <w:rFonts w:hint="eastAsia" w:hAnsi="宋体" w:cs="宋体"/>
          <w:color w:val="auto"/>
          <w:sz w:val="21"/>
          <w:szCs w:val="21"/>
          <w:highlight w:val="none"/>
        </w:rPr>
        <w:t>（下称“发包人”）</w:t>
      </w:r>
    </w:p>
    <w:p>
      <w:pPr>
        <w:spacing w:before="100" w:beforeAutospacing="1" w:after="100" w:afterAutospacing="1" w:line="360" w:lineRule="auto"/>
        <w:ind w:firstLine="437"/>
        <w:contextualSpacing/>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rPr>
        <w:t xml:space="preserve">  （咨询人的名称与地址）  </w:t>
      </w:r>
      <w:r>
        <w:rPr>
          <w:rFonts w:hint="eastAsia" w:hAnsi="宋体" w:cs="宋体"/>
          <w:color w:val="auto"/>
          <w:sz w:val="21"/>
          <w:szCs w:val="21"/>
          <w:highlight w:val="none"/>
        </w:rPr>
        <w:t>（下称“咨询人”），已保证按</w:t>
      </w:r>
      <w:r>
        <w:rPr>
          <w:rFonts w:hint="eastAsia" w:hAnsi="宋体" w:cs="宋体"/>
          <w:color w:val="auto"/>
          <w:sz w:val="21"/>
          <w:szCs w:val="21"/>
          <w:highlight w:val="none"/>
          <w:u w:val="single"/>
        </w:rPr>
        <w:t xml:space="preserve">  （招标项目名称）  </w:t>
      </w:r>
      <w:r>
        <w:rPr>
          <w:rFonts w:hint="eastAsia" w:hAnsi="宋体" w:cs="宋体"/>
          <w:color w:val="auto"/>
          <w:sz w:val="21"/>
          <w:szCs w:val="21"/>
          <w:highlight w:val="none"/>
        </w:rPr>
        <w:t>招标文件</w:t>
      </w:r>
      <w:r>
        <w:rPr>
          <w:rFonts w:hint="eastAsia" w:hAnsi="宋体" w:cs="宋体"/>
          <w:color w:val="auto"/>
          <w:sz w:val="21"/>
          <w:szCs w:val="21"/>
          <w:highlight w:val="none"/>
          <w:u w:val="single"/>
        </w:rPr>
        <w:t>（招标编号：   ）</w:t>
      </w:r>
      <w:r>
        <w:rPr>
          <w:rFonts w:hint="eastAsia" w:hAnsi="宋体" w:cs="宋体"/>
          <w:color w:val="auto"/>
          <w:sz w:val="21"/>
          <w:szCs w:val="21"/>
          <w:highlight w:val="none"/>
        </w:rPr>
        <w:t>及咨询合同</w:t>
      </w:r>
      <w:r>
        <w:rPr>
          <w:rFonts w:hint="eastAsia" w:hAnsi="宋体" w:cs="宋体"/>
          <w:color w:val="auto"/>
          <w:sz w:val="21"/>
          <w:szCs w:val="21"/>
          <w:highlight w:val="none"/>
          <w:u w:val="single"/>
        </w:rPr>
        <w:t>（合同编号：   ）</w:t>
      </w:r>
      <w:r>
        <w:rPr>
          <w:rFonts w:hint="eastAsia" w:hAnsi="宋体" w:cs="宋体"/>
          <w:color w:val="auto"/>
          <w:sz w:val="21"/>
          <w:szCs w:val="21"/>
          <w:highlight w:val="none"/>
        </w:rPr>
        <w:t>中规定的义务履行合同。</w:t>
      </w:r>
    </w:p>
    <w:p>
      <w:pPr>
        <w:spacing w:before="100" w:beforeAutospacing="1" w:after="100" w:afterAutospacing="1" w:line="360" w:lineRule="auto"/>
        <w:ind w:firstLine="437"/>
        <w:contextualSpacing/>
        <w:rPr>
          <w:rFonts w:hint="eastAsia" w:hAnsi="宋体" w:cs="宋体"/>
          <w:color w:val="auto"/>
          <w:sz w:val="21"/>
          <w:szCs w:val="21"/>
          <w:highlight w:val="none"/>
        </w:rPr>
      </w:pPr>
      <w:r>
        <w:rPr>
          <w:rFonts w:hint="eastAsia" w:hAnsi="宋体" w:cs="宋体"/>
          <w:color w:val="auto"/>
          <w:sz w:val="21"/>
          <w:szCs w:val="21"/>
          <w:highlight w:val="none"/>
        </w:rPr>
        <w:t>根据上述招标文件及合同规定，咨询人应向发包人提供一份金额为人民币（大写）</w:t>
      </w:r>
      <w:r>
        <w:rPr>
          <w:rFonts w:hint="eastAsia" w:hAnsi="宋体" w:cs="宋体"/>
          <w:color w:val="auto"/>
          <w:sz w:val="21"/>
          <w:szCs w:val="21"/>
          <w:highlight w:val="none"/>
          <w:u w:val="single"/>
        </w:rPr>
        <w:t xml:space="preserve">   （￥     元）</w:t>
      </w:r>
      <w:r>
        <w:rPr>
          <w:rFonts w:hint="eastAsia" w:hAnsi="宋体" w:cs="宋体"/>
          <w:color w:val="auto"/>
          <w:sz w:val="21"/>
          <w:szCs w:val="21"/>
          <w:highlight w:val="none"/>
        </w:rPr>
        <w:t>的不可撤销银行履约保函，作为咨询人履行上述合同的担保。</w:t>
      </w:r>
    </w:p>
    <w:p>
      <w:pPr>
        <w:spacing w:before="100" w:beforeAutospacing="1" w:after="100" w:afterAutospacing="1" w:line="360" w:lineRule="auto"/>
        <w:ind w:firstLine="437"/>
        <w:contextualSpacing/>
        <w:rPr>
          <w:rFonts w:hint="eastAsia" w:hAnsi="宋体" w:cs="宋体"/>
          <w:color w:val="auto"/>
          <w:sz w:val="21"/>
          <w:szCs w:val="21"/>
          <w:highlight w:val="none"/>
        </w:rPr>
      </w:pPr>
      <w:r>
        <w:rPr>
          <w:rFonts w:hint="eastAsia" w:hAnsi="宋体" w:cs="宋体"/>
          <w:color w:val="auto"/>
          <w:sz w:val="21"/>
          <w:szCs w:val="21"/>
          <w:highlight w:val="none"/>
        </w:rPr>
        <w:t>我方</w:t>
      </w:r>
      <w:r>
        <w:rPr>
          <w:rFonts w:hint="eastAsia" w:hAnsi="宋体" w:cs="宋体"/>
          <w:color w:val="auto"/>
          <w:sz w:val="21"/>
          <w:szCs w:val="21"/>
          <w:highlight w:val="none"/>
          <w:u w:val="single"/>
        </w:rPr>
        <w:t xml:space="preserve">  （银行名称）  </w:t>
      </w:r>
      <w:r>
        <w:rPr>
          <w:rFonts w:hint="eastAsia" w:hAnsi="宋体" w:cs="宋体"/>
          <w:color w:val="auto"/>
          <w:sz w:val="21"/>
          <w:szCs w:val="21"/>
          <w:highlight w:val="none"/>
        </w:rPr>
        <w:t>，受咨询人的委托，作为连带责任保证人，无条件和不可撤销地同意在发包人提出因咨询人没有履行上述招标文件及合同规定，而要求扣划保证金的书面要求后，我方将在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个工作日内为发包人扣划金额不超过人民币（大写）</w:t>
      </w:r>
      <w:r>
        <w:rPr>
          <w:rFonts w:hint="eastAsia" w:hAnsi="宋体" w:cs="宋体"/>
          <w:color w:val="auto"/>
          <w:sz w:val="21"/>
          <w:szCs w:val="21"/>
          <w:highlight w:val="none"/>
          <w:u w:val="single"/>
        </w:rPr>
        <w:t xml:space="preserve">     （￥    元）</w:t>
      </w:r>
      <w:r>
        <w:rPr>
          <w:rFonts w:hint="eastAsia" w:hAnsi="宋体" w:cs="宋体"/>
          <w:color w:val="auto"/>
          <w:sz w:val="21"/>
          <w:szCs w:val="21"/>
          <w:highlight w:val="none"/>
        </w:rPr>
        <w:t>的保证金。</w:t>
      </w:r>
    </w:p>
    <w:p>
      <w:pPr>
        <w:spacing w:before="100" w:beforeAutospacing="1" w:after="100" w:afterAutospacing="1" w:line="360" w:lineRule="auto"/>
        <w:ind w:firstLine="437"/>
        <w:contextualSpacing/>
        <w:rPr>
          <w:rFonts w:hint="eastAsia" w:hAnsi="宋体" w:cs="宋体"/>
          <w:color w:val="auto"/>
          <w:sz w:val="21"/>
          <w:szCs w:val="21"/>
          <w:highlight w:val="none"/>
        </w:rPr>
      </w:pPr>
      <w:r>
        <w:rPr>
          <w:rFonts w:hint="eastAsia" w:hAnsi="宋体" w:cs="宋体"/>
          <w:color w:val="auto"/>
          <w:sz w:val="21"/>
          <w:szCs w:val="21"/>
          <w:highlight w:val="none"/>
        </w:rPr>
        <w:t>我方还同意，任何发包人与咨询人之间可能对合同条款的修改、规范或其他合同文件的变动补充，都不能免除我方按本保函所承担的责任。因此，有关上述变动、补充和修改无须通知我方。</w:t>
      </w:r>
    </w:p>
    <w:p>
      <w:pPr>
        <w:spacing w:line="360" w:lineRule="auto"/>
        <w:ind w:firstLine="480"/>
        <w:contextualSpacing/>
        <w:rPr>
          <w:rFonts w:hint="eastAsia" w:hAnsi="宋体" w:cs="宋体"/>
          <w:color w:val="auto"/>
          <w:sz w:val="21"/>
          <w:szCs w:val="21"/>
          <w:highlight w:val="none"/>
        </w:rPr>
      </w:pPr>
      <w:r>
        <w:rPr>
          <w:rFonts w:hint="eastAsia" w:hAnsi="宋体" w:cs="宋体"/>
          <w:color w:val="auto"/>
          <w:sz w:val="21"/>
          <w:szCs w:val="21"/>
          <w:highlight w:val="none"/>
        </w:rPr>
        <w:t>本保函从上述合同签订之日起</w:t>
      </w:r>
      <w:r>
        <w:rPr>
          <w:rFonts w:hint="eastAsia" w:hAnsi="宋体"/>
          <w:bCs/>
          <w:color w:val="auto"/>
          <w:kern w:val="2"/>
          <w:sz w:val="21"/>
          <w:szCs w:val="21"/>
          <w:highlight w:val="none"/>
        </w:rPr>
        <w:t>至项目服务完工验收合格并结算完毕后，经双方签字7天内保持有效</w:t>
      </w:r>
      <w:r>
        <w:rPr>
          <w:rFonts w:hint="eastAsia" w:hAnsi="宋体" w:cs="宋体"/>
          <w:color w:val="auto"/>
          <w:sz w:val="21"/>
          <w:szCs w:val="21"/>
          <w:highlight w:val="none"/>
        </w:rPr>
        <w:t>内保持有效。</w:t>
      </w:r>
    </w:p>
    <w:p>
      <w:pPr>
        <w:spacing w:line="360" w:lineRule="auto"/>
        <w:ind w:firstLine="480"/>
        <w:contextualSpacing/>
        <w:rPr>
          <w:rFonts w:hAnsi="宋体"/>
          <w:color w:val="auto"/>
          <w:szCs w:val="21"/>
          <w:highlight w:val="none"/>
        </w:rPr>
      </w:pPr>
    </w:p>
    <w:p>
      <w:pPr>
        <w:spacing w:after="60"/>
        <w:ind w:firstLine="4440" w:firstLineChars="1850"/>
        <w:rPr>
          <w:rFonts w:hint="eastAsia" w:hAnsi="宋体"/>
          <w:color w:val="auto"/>
          <w:szCs w:val="21"/>
          <w:highlight w:val="none"/>
        </w:rPr>
      </w:pPr>
      <w:r>
        <w:rPr>
          <w:rFonts w:hint="eastAsia" w:hAnsi="宋体"/>
          <w:color w:val="auto"/>
          <w:szCs w:val="21"/>
          <w:highlight w:val="none"/>
        </w:rPr>
        <w:t>保证人：（公章）</w:t>
      </w:r>
      <w:r>
        <w:rPr>
          <w:rFonts w:hint="eastAsia" w:hAnsi="宋体"/>
          <w:color w:val="auto"/>
          <w:szCs w:val="21"/>
          <w:highlight w:val="none"/>
          <w:u w:val="single"/>
        </w:rPr>
        <w:t>　　　　　　　　　　　　　　　</w:t>
      </w:r>
    </w:p>
    <w:p>
      <w:pPr>
        <w:spacing w:before="100" w:beforeAutospacing="1" w:after="100" w:afterAutospacing="1"/>
        <w:ind w:firstLine="4440" w:firstLineChars="1850"/>
        <w:rPr>
          <w:rFonts w:hint="eastAsia" w:hAnsi="宋体"/>
          <w:color w:val="auto"/>
          <w:szCs w:val="21"/>
          <w:highlight w:val="none"/>
          <w:u w:val="single"/>
        </w:rPr>
      </w:pPr>
      <w:r>
        <w:rPr>
          <w:rFonts w:hint="eastAsia" w:hAnsi="宋体"/>
          <w:color w:val="auto"/>
          <w:szCs w:val="21"/>
          <w:highlight w:val="none"/>
        </w:rPr>
        <w:t>法定代表人或委托代理人：（签字）</w:t>
      </w:r>
      <w:r>
        <w:rPr>
          <w:rFonts w:hint="eastAsia" w:hAnsi="宋体"/>
          <w:color w:val="auto"/>
          <w:szCs w:val="21"/>
          <w:highlight w:val="none"/>
          <w:u w:val="single"/>
        </w:rPr>
        <w:t xml:space="preserve">              </w:t>
      </w:r>
    </w:p>
    <w:p>
      <w:pPr>
        <w:spacing w:after="108"/>
        <w:ind w:firstLine="4524" w:firstLineChars="1885"/>
        <w:rPr>
          <w:rFonts w:hint="eastAsia" w:hAnsi="宋体"/>
          <w:color w:val="auto"/>
          <w:szCs w:val="21"/>
          <w:highlight w:val="none"/>
        </w:rPr>
      </w:pPr>
      <w:r>
        <w:rPr>
          <w:rFonts w:hint="eastAsia" w:hAnsi="宋体"/>
          <w:color w:val="auto"/>
          <w:szCs w:val="21"/>
          <w:highlight w:val="none"/>
        </w:rPr>
        <w:t>联系电话：</w:t>
      </w:r>
      <w:r>
        <w:rPr>
          <w:rFonts w:hint="eastAsia" w:hAnsi="宋体"/>
          <w:color w:val="auto"/>
          <w:szCs w:val="21"/>
          <w:highlight w:val="none"/>
          <w:u w:val="single"/>
        </w:rPr>
        <w:t>　　　　　　　　　　　　　　　　　</w:t>
      </w:r>
    </w:p>
    <w:p>
      <w:pPr>
        <w:spacing w:before="100" w:beforeAutospacing="1" w:after="100" w:afterAutospacing="1"/>
        <w:ind w:firstLine="4440" w:firstLineChars="185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p>
    <w:p>
      <w:pPr>
        <w:ind w:firstLine="4440" w:firstLineChars="1850"/>
        <w:rPr>
          <w:rFonts w:hint="eastAsia" w:hAnsi="宋体"/>
          <w:color w:val="auto"/>
          <w:szCs w:val="21"/>
          <w:highlight w:val="none"/>
          <w:u w:val="single"/>
        </w:rPr>
      </w:pPr>
      <w:r>
        <w:rPr>
          <w:rFonts w:hint="eastAsia" w:hAnsi="宋体"/>
          <w:color w:val="auto"/>
          <w:szCs w:val="21"/>
          <w:highlight w:val="none"/>
        </w:rPr>
        <w:t>日期：</w:t>
      </w:r>
      <w:r>
        <w:rPr>
          <w:rFonts w:hint="eastAsia" w:hAnsi="宋体"/>
          <w:color w:val="auto"/>
          <w:szCs w:val="21"/>
          <w:highlight w:val="none"/>
          <w:u w:val="single"/>
        </w:rPr>
        <w:t xml:space="preserve">                                       </w:t>
      </w:r>
    </w:p>
    <w:p>
      <w:pPr>
        <w:rPr>
          <w:rFonts w:hint="eastAsia" w:hAnsi="宋体"/>
          <w:color w:val="auto"/>
          <w:szCs w:val="21"/>
          <w:highlight w:val="none"/>
        </w:rPr>
      </w:pPr>
    </w:p>
    <w:p>
      <w:pPr>
        <w:spacing w:line="360" w:lineRule="auto"/>
        <w:ind w:firstLine="470" w:firstLineChars="196"/>
        <w:rPr>
          <w:rFonts w:hint="eastAsia" w:hAnsi="宋体"/>
          <w:b/>
          <w:color w:val="auto"/>
          <w:szCs w:val="21"/>
          <w:highlight w:val="none"/>
        </w:rPr>
      </w:pPr>
      <w:r>
        <w:rPr>
          <w:rFonts w:hint="eastAsia" w:hAnsi="宋体"/>
          <w:b/>
          <w:color w:val="auto"/>
          <w:szCs w:val="21"/>
          <w:highlight w:val="none"/>
        </w:rPr>
        <w:t>注：1、本保函应由银行支行及以上的银行机构开具，并加盖公章或保函专用章，对于保证人的业务章、合同专用章等发包人将不予认可；</w:t>
      </w:r>
    </w:p>
    <w:p>
      <w:pPr>
        <w:spacing w:line="360" w:lineRule="auto"/>
        <w:rPr>
          <w:rFonts w:hint="eastAsia" w:hAnsi="宋体"/>
          <w:b/>
          <w:color w:val="auto"/>
          <w:szCs w:val="21"/>
          <w:highlight w:val="none"/>
        </w:rPr>
      </w:pPr>
      <w:r>
        <w:rPr>
          <w:rFonts w:hint="eastAsia" w:hAnsi="宋体"/>
          <w:b/>
          <w:color w:val="auto"/>
          <w:szCs w:val="21"/>
          <w:highlight w:val="none"/>
        </w:rPr>
        <w:t>　　    2、本保函必须按上述格式、内容等要求开具，否则发包人将不予接收。</w:t>
      </w:r>
    </w:p>
    <w:p>
      <w:pPr>
        <w:widowControl/>
        <w:spacing w:line="240" w:lineRule="exact"/>
        <w:rPr>
          <w:color w:val="auto"/>
          <w:szCs w:val="21"/>
          <w:highlight w:val="none"/>
        </w:rPr>
      </w:pPr>
      <w:r>
        <w:rPr>
          <w:color w:val="auto"/>
          <w:sz w:val="28"/>
          <w:highlight w:val="none"/>
        </w:rPr>
        <w:br w:type="page"/>
      </w:r>
      <w:r>
        <w:rPr>
          <w:rFonts w:hint="eastAsia" w:hAnsi="宋体"/>
          <w:b/>
          <w:color w:val="auto"/>
          <w:szCs w:val="21"/>
          <w:highlight w:val="none"/>
        </w:rPr>
        <w:t>附件</w:t>
      </w:r>
      <w:r>
        <w:rPr>
          <w:rFonts w:hint="eastAsia" w:hAnsi="宋体"/>
          <w:b/>
          <w:color w:val="auto"/>
          <w:szCs w:val="21"/>
          <w:highlight w:val="none"/>
          <w:lang w:val="en-US" w:eastAsia="zh-CN"/>
        </w:rPr>
        <w:t>8</w:t>
      </w:r>
      <w:r>
        <w:rPr>
          <w:rFonts w:hint="eastAsia" w:hAnsi="宋体"/>
          <w:b/>
          <w:color w:val="auto"/>
          <w:szCs w:val="21"/>
          <w:highlight w:val="none"/>
        </w:rPr>
        <w:t>：公证书</w:t>
      </w:r>
    </w:p>
    <w:p>
      <w:pPr>
        <w:spacing w:line="400" w:lineRule="exact"/>
        <w:rPr>
          <w:rFonts w:hint="eastAsia"/>
          <w:color w:val="auto"/>
          <w:highlight w:val="none"/>
        </w:rPr>
      </w:pPr>
    </w:p>
    <w:p>
      <w:pPr>
        <w:pStyle w:val="45"/>
        <w:spacing w:beforeAutospacing="0" w:afterAutospacing="0" w:line="360" w:lineRule="auto"/>
        <w:jc w:val="center"/>
        <w:rPr>
          <w:b/>
          <w:color w:val="auto"/>
          <w:sz w:val="28"/>
          <w:szCs w:val="28"/>
          <w:highlight w:val="none"/>
        </w:rPr>
      </w:pPr>
      <w:r>
        <w:rPr>
          <w:rFonts w:hint="eastAsia"/>
          <w:b/>
          <w:color w:val="auto"/>
          <w:sz w:val="28"/>
          <w:szCs w:val="28"/>
          <w:highlight w:val="none"/>
        </w:rPr>
        <w:t>公证书</w:t>
      </w:r>
      <w:r>
        <w:rPr>
          <w:rFonts w:hint="eastAsia"/>
          <w:b/>
          <w:bCs/>
          <w:color w:val="auto"/>
          <w:sz w:val="28"/>
          <w:szCs w:val="28"/>
          <w:highlight w:val="none"/>
        </w:rPr>
        <w:t>（示范文）</w:t>
      </w:r>
    </w:p>
    <w:p>
      <w:pPr>
        <w:pStyle w:val="45"/>
        <w:spacing w:beforeAutospacing="0" w:afterAutospacing="0" w:line="360" w:lineRule="auto"/>
        <w:jc w:val="right"/>
        <w:rPr>
          <w:rFonts w:hint="eastAsia"/>
          <w:color w:val="auto"/>
          <w:sz w:val="21"/>
          <w:szCs w:val="21"/>
          <w:highlight w:val="none"/>
        </w:rPr>
      </w:pPr>
      <w:r>
        <w:rPr>
          <w:rFonts w:hint="eastAsia"/>
          <w:color w:val="auto"/>
          <w:sz w:val="21"/>
          <w:szCs w:val="21"/>
          <w:highlight w:val="none"/>
        </w:rPr>
        <w:t>（ ）××字第××号</w:t>
      </w:r>
    </w:p>
    <w:p>
      <w:pPr>
        <w:pStyle w:val="45"/>
        <w:spacing w:beforeAutospacing="0" w:afterAutospacing="0" w:line="360" w:lineRule="auto"/>
        <w:ind w:firstLine="420" w:firstLineChars="200"/>
        <w:rPr>
          <w:rFonts w:hint="eastAsia"/>
          <w:color w:val="auto"/>
          <w:sz w:val="21"/>
          <w:szCs w:val="21"/>
          <w:highlight w:val="none"/>
        </w:rPr>
      </w:pPr>
      <w:r>
        <w:rPr>
          <w:rFonts w:hint="eastAsia"/>
          <w:color w:val="auto"/>
          <w:sz w:val="21"/>
          <w:szCs w:val="21"/>
          <w:highlight w:val="none"/>
        </w:rPr>
        <w:t>兹证明××××（银行全称）法定代表人（或法定代表人的代理人）×××于××××年×月×日，在××（签约地点或本公证处），在我的面前，签署了前面的编号为××××的《不可撤销履约保函》。</w:t>
      </w:r>
    </w:p>
    <w:p>
      <w:pPr>
        <w:pStyle w:val="45"/>
        <w:spacing w:beforeAutospacing="0" w:afterAutospacing="0" w:line="360" w:lineRule="auto"/>
        <w:ind w:firstLine="420" w:firstLineChars="200"/>
        <w:rPr>
          <w:rFonts w:hint="eastAsia"/>
          <w:color w:val="auto"/>
          <w:sz w:val="21"/>
          <w:szCs w:val="21"/>
          <w:highlight w:val="none"/>
        </w:rPr>
      </w:pPr>
      <w:r>
        <w:rPr>
          <w:rFonts w:hint="eastAsia"/>
          <w:color w:val="auto"/>
          <w:sz w:val="21"/>
          <w:szCs w:val="21"/>
          <w:highlight w:val="none"/>
        </w:rPr>
        <w:t>经查，履约保函上的签字、印章属实。</w:t>
      </w:r>
    </w:p>
    <w:p>
      <w:pPr>
        <w:pStyle w:val="45"/>
        <w:spacing w:beforeAutospacing="0" w:afterAutospacing="0" w:line="360" w:lineRule="auto"/>
        <w:jc w:val="center"/>
        <w:rPr>
          <w:rFonts w:hint="eastAsia"/>
          <w:color w:val="auto"/>
          <w:sz w:val="21"/>
          <w:szCs w:val="21"/>
          <w:highlight w:val="none"/>
        </w:rPr>
      </w:pPr>
    </w:p>
    <w:p>
      <w:pPr>
        <w:pStyle w:val="45"/>
        <w:spacing w:beforeAutospacing="0" w:afterAutospacing="0" w:line="360" w:lineRule="auto"/>
        <w:jc w:val="center"/>
        <w:rPr>
          <w:rFonts w:hint="eastAsia"/>
          <w:color w:val="auto"/>
          <w:sz w:val="21"/>
          <w:szCs w:val="21"/>
          <w:highlight w:val="none"/>
        </w:rPr>
      </w:pPr>
    </w:p>
    <w:p>
      <w:pPr>
        <w:pStyle w:val="45"/>
        <w:spacing w:beforeAutospacing="0" w:afterAutospacing="0" w:line="360" w:lineRule="auto"/>
        <w:jc w:val="center"/>
        <w:rPr>
          <w:rFonts w:hint="eastAsia"/>
          <w:color w:val="auto"/>
          <w:sz w:val="21"/>
          <w:szCs w:val="21"/>
          <w:highlight w:val="none"/>
        </w:rPr>
      </w:pPr>
    </w:p>
    <w:p>
      <w:pPr>
        <w:pStyle w:val="45"/>
        <w:spacing w:beforeAutospacing="0" w:afterAutospacing="0" w:line="360" w:lineRule="auto"/>
        <w:jc w:val="center"/>
        <w:rPr>
          <w:rFonts w:hint="eastAsia"/>
          <w:color w:val="auto"/>
          <w:sz w:val="21"/>
          <w:szCs w:val="21"/>
          <w:highlight w:val="none"/>
        </w:rPr>
      </w:pPr>
      <w:r>
        <w:rPr>
          <w:rFonts w:hint="eastAsia"/>
          <w:color w:val="auto"/>
          <w:sz w:val="21"/>
          <w:szCs w:val="21"/>
          <w:highlight w:val="none"/>
        </w:rPr>
        <w:t xml:space="preserve">                            中华人民共和国××省××市（县）公证处</w:t>
      </w:r>
    </w:p>
    <w:p>
      <w:pPr>
        <w:pStyle w:val="45"/>
        <w:spacing w:beforeAutospacing="0" w:afterAutospacing="0" w:line="360" w:lineRule="auto"/>
        <w:jc w:val="center"/>
        <w:rPr>
          <w:rFonts w:hint="eastAsia"/>
          <w:color w:val="auto"/>
          <w:sz w:val="21"/>
          <w:szCs w:val="21"/>
          <w:highlight w:val="none"/>
        </w:rPr>
      </w:pPr>
      <w:r>
        <w:rPr>
          <w:rFonts w:hint="eastAsia"/>
          <w:color w:val="auto"/>
          <w:sz w:val="21"/>
          <w:szCs w:val="21"/>
          <w:highlight w:val="none"/>
        </w:rPr>
        <w:t xml:space="preserve">     公证员 （签名）</w:t>
      </w:r>
    </w:p>
    <w:p>
      <w:pPr>
        <w:pStyle w:val="45"/>
        <w:spacing w:beforeAutospacing="0" w:afterAutospacing="0" w:line="360" w:lineRule="auto"/>
        <w:jc w:val="center"/>
        <w:rPr>
          <w:color w:val="auto"/>
          <w:sz w:val="21"/>
          <w:szCs w:val="21"/>
          <w:highlight w:val="none"/>
        </w:rPr>
      </w:pPr>
      <w:r>
        <w:rPr>
          <w:rFonts w:hint="eastAsia"/>
          <w:color w:val="auto"/>
          <w:sz w:val="21"/>
          <w:szCs w:val="21"/>
          <w:highlight w:val="none"/>
        </w:rPr>
        <w:t xml:space="preserve">        ××××年×月×日</w:t>
      </w:r>
    </w:p>
    <w:p>
      <w:pPr>
        <w:widowControl/>
        <w:spacing w:line="240" w:lineRule="exact"/>
        <w:rPr>
          <w:rFonts w:hAnsi="宋体"/>
          <w:b/>
          <w:bCs/>
          <w:color w:val="auto"/>
          <w:sz w:val="28"/>
          <w:szCs w:val="28"/>
          <w:highlight w:val="none"/>
        </w:rPr>
      </w:pPr>
    </w:p>
    <w:p>
      <w:pPr>
        <w:widowControl/>
        <w:spacing w:line="240" w:lineRule="exact"/>
        <w:rPr>
          <w:rFonts w:hint="eastAsia" w:hAnsi="宋体"/>
          <w:b/>
          <w:bCs/>
          <w:color w:val="auto"/>
          <w:sz w:val="28"/>
          <w:szCs w:val="28"/>
          <w:highlight w:val="none"/>
        </w:rPr>
      </w:pPr>
    </w:p>
    <w:p>
      <w:pPr>
        <w:tabs>
          <w:tab w:val="left" w:pos="900"/>
          <w:tab w:val="left" w:pos="1080"/>
        </w:tabs>
        <w:spacing w:line="240" w:lineRule="exact"/>
        <w:rPr>
          <w:rFonts w:hint="eastAsia" w:hAnsi="宋体"/>
          <w:color w:val="auto"/>
          <w:szCs w:val="21"/>
          <w:highlight w:val="none"/>
        </w:rPr>
        <w:sectPr>
          <w:footerReference r:id="rId10" w:type="default"/>
          <w:type w:val="nextColumn"/>
          <w:pgSz w:w="11906" w:h="16838"/>
          <w:pgMar w:top="1418" w:right="1134" w:bottom="1418" w:left="1134" w:header="851" w:footer="992" w:gutter="0"/>
          <w:cols w:space="720" w:num="1"/>
          <w:docGrid w:type="linesAndChars" w:linePitch="312" w:charSpace="0"/>
        </w:sectPr>
      </w:pPr>
      <w:bookmarkStart w:id="65" w:name="_bookmark27"/>
      <w:bookmarkEnd w:id="65"/>
      <w:bookmarkStart w:id="66" w:name="_Toc4195"/>
      <w:bookmarkStart w:id="67" w:name="_Toc1603"/>
      <w:bookmarkStart w:id="68" w:name="_Toc9566"/>
      <w:bookmarkStart w:id="69" w:name="_Toc11643"/>
      <w:bookmarkStart w:id="70" w:name="_Toc19547"/>
      <w:bookmarkStart w:id="71" w:name="_Toc22668"/>
      <w:bookmarkStart w:id="72" w:name="_Toc32736"/>
      <w:bookmarkStart w:id="73" w:name="_Toc9348"/>
      <w:bookmarkStart w:id="74" w:name="_Toc15960"/>
      <w:bookmarkStart w:id="75" w:name="_Toc18848"/>
      <w:bookmarkStart w:id="76" w:name="_Toc32405"/>
      <w:bookmarkStart w:id="77" w:name="_Toc29841"/>
      <w:bookmarkStart w:id="78" w:name="_Toc396137244"/>
      <w:bookmarkStart w:id="79" w:name="_Toc12383"/>
      <w:bookmarkStart w:id="80" w:name="_Toc2544"/>
      <w:bookmarkStart w:id="81" w:name="_Toc32273"/>
      <w:bookmarkStart w:id="82" w:name="_Toc30637"/>
      <w:bookmarkStart w:id="83" w:name="_Toc19671"/>
      <w:bookmarkStart w:id="84" w:name="_Toc28095"/>
    </w:p>
    <w:p>
      <w:pPr>
        <w:pStyle w:val="3"/>
        <w:keepNext/>
        <w:keepLines/>
        <w:pageBreakBefore/>
        <w:numPr>
          <w:ilvl w:val="0"/>
          <w:numId w:val="18"/>
        </w:numPr>
        <w:spacing w:line="360" w:lineRule="auto"/>
        <w:jc w:val="center"/>
        <w:rPr>
          <w:rFonts w:hAnsi="宋体"/>
          <w:b/>
          <w:bCs/>
          <w:color w:val="auto"/>
          <w:kern w:val="44"/>
          <w:sz w:val="28"/>
          <w:szCs w:val="28"/>
          <w:highlight w:val="none"/>
          <w:lang w:val="zh-CN"/>
        </w:rPr>
      </w:pPr>
      <w:bookmarkStart w:id="85" w:name="_Toc22751"/>
      <w:bookmarkStart w:id="86" w:name="_Toc396137242"/>
      <w:r>
        <w:rPr>
          <w:rFonts w:hint="eastAsia" w:hAnsi="宋体"/>
          <w:b/>
          <w:bCs/>
          <w:color w:val="auto"/>
          <w:kern w:val="44"/>
          <w:sz w:val="28"/>
          <w:szCs w:val="28"/>
          <w:highlight w:val="none"/>
        </w:rPr>
        <w:t xml:space="preserve"> </w:t>
      </w:r>
      <w:r>
        <w:rPr>
          <w:rFonts w:hint="eastAsia" w:hAnsi="宋体"/>
          <w:b/>
          <w:bCs/>
          <w:color w:val="auto"/>
          <w:kern w:val="44"/>
          <w:sz w:val="28"/>
          <w:szCs w:val="28"/>
          <w:highlight w:val="none"/>
          <w:lang w:val="zh-CN"/>
        </w:rPr>
        <w:t>投标文件格式</w:t>
      </w:r>
      <w:bookmarkEnd w:id="85"/>
      <w:bookmarkEnd w:id="86"/>
    </w:p>
    <w:p>
      <w:pPr>
        <w:rPr>
          <w:rFonts w:hint="eastAsia"/>
          <w:color w:val="auto"/>
          <w:highlight w:val="none"/>
        </w:rPr>
      </w:pPr>
    </w:p>
    <w:p>
      <w:pPr>
        <w:pStyle w:val="2"/>
        <w:jc w:val="center"/>
        <w:rPr>
          <w:rFonts w:hint="eastAsia"/>
          <w:color w:val="auto"/>
          <w:sz w:val="28"/>
          <w:szCs w:val="28"/>
          <w:highlight w:val="none"/>
        </w:rPr>
      </w:pPr>
      <w:r>
        <w:rPr>
          <w:rFonts w:hint="eastAsia"/>
          <w:color w:val="auto"/>
          <w:sz w:val="28"/>
          <w:szCs w:val="28"/>
          <w:highlight w:val="none"/>
        </w:rPr>
        <w:t>第一部分 资格证明文件（单独编制装订成册，单独封装）</w:t>
      </w:r>
      <w:bookmarkEnd w:id="66"/>
      <w:bookmarkEnd w:id="67"/>
      <w:bookmarkEnd w:id="68"/>
      <w:bookmarkEnd w:id="69"/>
      <w:bookmarkEnd w:id="70"/>
      <w:bookmarkEnd w:id="71"/>
    </w:p>
    <w:p>
      <w:pPr>
        <w:jc w:val="both"/>
        <w:rPr>
          <w:rFonts w:hint="eastAsia"/>
          <w:color w:val="auto"/>
          <w:highlight w:val="none"/>
        </w:rPr>
      </w:pPr>
    </w:p>
    <w:p>
      <w:pPr>
        <w:pStyle w:val="4"/>
        <w:numPr>
          <w:ilvl w:val="1"/>
          <w:numId w:val="25"/>
        </w:numPr>
        <w:spacing w:line="360" w:lineRule="auto"/>
        <w:ind w:left="0" w:firstLine="0"/>
        <w:jc w:val="center"/>
        <w:rPr>
          <w:color w:val="auto"/>
          <w:highlight w:val="none"/>
        </w:rPr>
      </w:pPr>
      <w:bookmarkStart w:id="87" w:name="_Toc11311"/>
      <w:bookmarkStart w:id="88" w:name="_Toc20932"/>
      <w:bookmarkStart w:id="89" w:name="_Toc3453"/>
      <w:bookmarkStart w:id="90" w:name="_Toc30047"/>
      <w:bookmarkStart w:id="91" w:name="_Toc3730"/>
      <w:bookmarkStart w:id="92" w:name="_Toc29971"/>
      <w:r>
        <w:rPr>
          <w:rFonts w:hint="eastAsia"/>
          <w:color w:val="auto"/>
          <w:highlight w:val="none"/>
        </w:rPr>
        <w:t>投标人资格声明书</w:t>
      </w:r>
      <w:bookmarkEnd w:id="72"/>
      <w:bookmarkEnd w:id="73"/>
      <w:bookmarkEnd w:id="74"/>
      <w:bookmarkEnd w:id="75"/>
      <w:bookmarkEnd w:id="76"/>
      <w:bookmarkEnd w:id="77"/>
      <w:bookmarkEnd w:id="87"/>
      <w:bookmarkEnd w:id="88"/>
      <w:bookmarkEnd w:id="89"/>
      <w:bookmarkEnd w:id="90"/>
      <w:bookmarkEnd w:id="91"/>
      <w:bookmarkEnd w:id="92"/>
    </w:p>
    <w:p>
      <w:pPr>
        <w:pStyle w:val="26"/>
        <w:spacing w:line="360" w:lineRule="auto"/>
        <w:jc w:val="center"/>
        <w:rPr>
          <w:rFonts w:hAnsi="宋体"/>
          <w:color w:val="auto"/>
          <w:highlight w:val="none"/>
        </w:rPr>
      </w:pPr>
    </w:p>
    <w:p>
      <w:pPr>
        <w:pStyle w:val="26"/>
        <w:spacing w:line="360" w:lineRule="auto"/>
        <w:rPr>
          <w:rFonts w:hint="eastAsia" w:hAnsi="宋体"/>
          <w:bCs/>
          <w:color w:val="auto"/>
          <w:highlight w:val="none"/>
        </w:rPr>
      </w:pPr>
      <w:r>
        <w:rPr>
          <w:rFonts w:hint="eastAsia" w:hAnsi="宋体"/>
          <w:bCs/>
          <w:color w:val="auto"/>
          <w:highlight w:val="none"/>
        </w:rPr>
        <w:t>致：广东泰通伟业工程咨询有限公司</w:t>
      </w:r>
    </w:p>
    <w:p>
      <w:pPr>
        <w:pStyle w:val="26"/>
        <w:spacing w:line="360" w:lineRule="auto"/>
        <w:rPr>
          <w:rFonts w:hint="eastAsia" w:hAnsi="宋体"/>
          <w:color w:val="auto"/>
          <w:highlight w:val="none"/>
        </w:rPr>
      </w:pPr>
    </w:p>
    <w:p>
      <w:pPr>
        <w:pStyle w:val="26"/>
        <w:spacing w:line="360" w:lineRule="auto"/>
        <w:ind w:firstLine="420" w:firstLineChars="200"/>
        <w:rPr>
          <w:rFonts w:hint="eastAsia" w:hAnsi="宋体"/>
          <w:color w:val="auto"/>
          <w:szCs w:val="21"/>
          <w:highlight w:val="none"/>
        </w:rPr>
      </w:pPr>
      <w:r>
        <w:rPr>
          <w:rFonts w:hint="eastAsia" w:hAnsi="宋体"/>
          <w:color w:val="auto"/>
          <w:szCs w:val="21"/>
          <w:highlight w:val="none"/>
        </w:rPr>
        <w:t>本公司参加</w:t>
      </w:r>
      <w:r>
        <w:rPr>
          <w:rFonts w:hint="eastAsia" w:hAnsi="宋体"/>
          <w:color w:val="auto"/>
          <w:szCs w:val="21"/>
          <w:highlight w:val="none"/>
          <w:u w:val="single"/>
        </w:rPr>
        <w:t xml:space="preserve">                      （</w:t>
      </w:r>
      <w:r>
        <w:rPr>
          <w:rFonts w:hint="eastAsia" w:hAnsi="宋体"/>
          <w:color w:val="auto"/>
          <w:szCs w:val="21"/>
          <w:highlight w:val="none"/>
          <w:u w:val="single"/>
          <w:lang w:val="zh-CN"/>
        </w:rPr>
        <w:t>项目名称）</w:t>
      </w:r>
      <w:r>
        <w:rPr>
          <w:rFonts w:hint="eastAsia" w:hAnsi="宋体"/>
          <w:color w:val="auto"/>
          <w:szCs w:val="21"/>
          <w:highlight w:val="none"/>
        </w:rPr>
        <w:t>(项目编号：         )的招标活动，并声明：</w:t>
      </w:r>
    </w:p>
    <w:p>
      <w:pPr>
        <w:pStyle w:val="119"/>
        <w:numPr>
          <w:ilvl w:val="0"/>
          <w:numId w:val="26"/>
        </w:numPr>
        <w:snapToGrid w:val="0"/>
        <w:spacing w:line="360" w:lineRule="auto"/>
        <w:ind w:firstLine="0" w:firstLineChars="0"/>
        <w:rPr>
          <w:rFonts w:ascii="宋体" w:hAnsi="宋体"/>
          <w:bCs/>
          <w:color w:val="auto"/>
          <w:szCs w:val="21"/>
          <w:highlight w:val="none"/>
        </w:rPr>
      </w:pPr>
      <w:r>
        <w:rPr>
          <w:rFonts w:hint="eastAsia" w:ascii="宋体" w:hAnsi="宋体"/>
          <w:color w:val="auto"/>
          <w:szCs w:val="21"/>
          <w:highlight w:val="none"/>
        </w:rPr>
        <w:t>本公司</w:t>
      </w:r>
      <w:r>
        <w:rPr>
          <w:rFonts w:hint="eastAsia" w:ascii="宋体" w:hAnsi="宋体"/>
          <w:bCs/>
          <w:color w:val="auto"/>
          <w:szCs w:val="21"/>
          <w:highlight w:val="none"/>
        </w:rPr>
        <w:t>为在中华人民共和国境内登记注册的具有独立承担民事责任能力的法人或其他组织；</w:t>
      </w:r>
    </w:p>
    <w:p>
      <w:pPr>
        <w:pStyle w:val="119"/>
        <w:numPr>
          <w:ilvl w:val="0"/>
          <w:numId w:val="26"/>
        </w:numPr>
        <w:snapToGrid w:val="0"/>
        <w:spacing w:line="360" w:lineRule="auto"/>
        <w:ind w:left="0" w:firstLine="420"/>
        <w:rPr>
          <w:rFonts w:ascii="宋体" w:hAnsi="宋体"/>
          <w:color w:val="auto"/>
          <w:szCs w:val="21"/>
          <w:highlight w:val="none"/>
        </w:rPr>
      </w:pPr>
      <w:r>
        <w:rPr>
          <w:rFonts w:hint="eastAsia" w:ascii="宋体" w:hAnsi="宋体"/>
          <w:color w:val="auto"/>
          <w:szCs w:val="21"/>
          <w:highlight w:val="none"/>
        </w:rPr>
        <w:t>我方承诺单位负责人为同一人或者存在直接控股、管理关系的不同投标人，不得参加同一合同项下的招标活动。为本项目提供整体设计、规范编制或者项目管理、监理、检测等服务的，不得参加本招标项目的招标活动。</w:t>
      </w: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本公司（企业）承诺在本次招标活动中，如有违法、违规、弄虚作假行为，所造成的损失、不良后果及法律责任，一律由我公司（企业）承担。</w:t>
      </w:r>
    </w:p>
    <w:p>
      <w:pPr>
        <w:snapToGrid w:val="0"/>
        <w:spacing w:line="360" w:lineRule="auto"/>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特此声明！</w:t>
      </w:r>
    </w:p>
    <w:p>
      <w:pPr>
        <w:widowControl/>
        <w:autoSpaceDE/>
        <w:autoSpaceDN/>
        <w:adjustRightInd/>
        <w:spacing w:line="360" w:lineRule="auto"/>
        <w:ind w:firstLine="420" w:firstLineChars="200"/>
        <w:rPr>
          <w:rFonts w:hint="eastAsia" w:hAnsi="宋体" w:cs="宋体"/>
          <w:color w:val="auto"/>
          <w:sz w:val="21"/>
          <w:szCs w:val="21"/>
          <w:highlight w:val="none"/>
        </w:rPr>
      </w:pPr>
    </w:p>
    <w:p>
      <w:pPr>
        <w:widowControl/>
        <w:autoSpaceDE/>
        <w:autoSpaceDN/>
        <w:adjustRightInd/>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附件一：符合“合格的投标人”要求中的其他证明文件。</w:t>
      </w:r>
    </w:p>
    <w:p>
      <w:pPr>
        <w:widowControl/>
        <w:autoSpaceDE/>
        <w:autoSpaceDN/>
        <w:adjustRightInd/>
        <w:spacing w:line="360" w:lineRule="auto"/>
        <w:rPr>
          <w:rFonts w:hint="eastAsia" w:hAnsi="宋体" w:cs="宋体"/>
          <w:color w:val="auto"/>
          <w:sz w:val="21"/>
          <w:szCs w:val="21"/>
          <w:highlight w:val="none"/>
        </w:rPr>
      </w:pPr>
      <w:r>
        <w:rPr>
          <w:rFonts w:hint="eastAsia" w:hAnsi="宋体" w:cs="宋体"/>
          <w:color w:val="auto"/>
          <w:sz w:val="21"/>
          <w:szCs w:val="21"/>
          <w:highlight w:val="none"/>
        </w:rPr>
        <w:tab/>
      </w:r>
      <w:r>
        <w:rPr>
          <w:rFonts w:hint="eastAsia" w:hAnsi="宋体" w:cs="宋体"/>
          <w:color w:val="auto"/>
          <w:sz w:val="21"/>
          <w:szCs w:val="21"/>
          <w:highlight w:val="none"/>
        </w:rPr>
        <w:t>（相关证明文件附后）</w:t>
      </w:r>
    </w:p>
    <w:p>
      <w:pPr>
        <w:pStyle w:val="26"/>
        <w:spacing w:line="360" w:lineRule="auto"/>
        <w:rPr>
          <w:rFonts w:hint="eastAsia" w:hAnsi="宋体"/>
          <w:color w:val="auto"/>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 xml:space="preserve">日期： </w:t>
      </w:r>
    </w:p>
    <w:p>
      <w:pPr>
        <w:rPr>
          <w:rFonts w:hint="eastAsia" w:hAnsi="宋体"/>
          <w:color w:val="auto"/>
          <w:szCs w:val="21"/>
          <w:highlight w:val="none"/>
        </w:rPr>
      </w:pPr>
    </w:p>
    <w:p>
      <w:pPr>
        <w:rPr>
          <w:rFonts w:hint="eastAsia"/>
          <w:color w:val="auto"/>
          <w:highlight w:val="none"/>
        </w:rPr>
      </w:pPr>
      <w:bookmarkStart w:id="93" w:name="_Toc430859368"/>
      <w:bookmarkStart w:id="94" w:name="_Toc2755"/>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bookmarkEnd w:id="93"/>
    <w:bookmarkEnd w:id="94"/>
    <w:p>
      <w:pPr>
        <w:pStyle w:val="4"/>
        <w:spacing w:line="360" w:lineRule="auto"/>
        <w:jc w:val="both"/>
        <w:rPr>
          <w:rFonts w:hint="eastAsia" w:hAnsi="宋体" w:cs="宋体"/>
          <w:b/>
          <w:bCs/>
          <w:color w:val="auto"/>
          <w:sz w:val="21"/>
          <w:szCs w:val="21"/>
          <w:highlight w:val="none"/>
        </w:rPr>
      </w:pPr>
      <w:bookmarkStart w:id="95" w:name="_Toc10652"/>
      <w:bookmarkStart w:id="96" w:name="_Toc15284"/>
      <w:bookmarkStart w:id="97" w:name="_Toc26153"/>
      <w:bookmarkStart w:id="98" w:name="_Toc29011"/>
      <w:bookmarkStart w:id="99" w:name="_Toc32438"/>
      <w:bookmarkStart w:id="100" w:name="_Toc29924"/>
      <w:r>
        <w:rPr>
          <w:rFonts w:hint="eastAsia" w:hAnsi="宋体" w:cs="宋体"/>
          <w:b/>
          <w:bCs/>
          <w:color w:val="auto"/>
          <w:sz w:val="21"/>
          <w:szCs w:val="21"/>
          <w:highlight w:val="none"/>
        </w:rPr>
        <w:t>附件一：符合“合格的投标人”要求中的其他证明文件。</w:t>
      </w:r>
      <w:bookmarkEnd w:id="95"/>
      <w:bookmarkEnd w:id="96"/>
      <w:bookmarkEnd w:id="97"/>
      <w:bookmarkEnd w:id="98"/>
      <w:bookmarkEnd w:id="99"/>
      <w:bookmarkEnd w:id="100"/>
    </w:p>
    <w:p>
      <w:pPr>
        <w:widowControl/>
        <w:numPr>
          <w:ilvl w:val="0"/>
          <w:numId w:val="27"/>
        </w:numPr>
        <w:autoSpaceDE/>
        <w:autoSpaceDN/>
        <w:adjustRightInd/>
        <w:snapToGrid w:val="0"/>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符合“合格的投标人”要求中的其他证明文件（如有）。</w:t>
      </w:r>
    </w:p>
    <w:p>
      <w:pPr>
        <w:tabs>
          <w:tab w:val="left" w:pos="1504"/>
        </w:tabs>
        <w:rPr>
          <w:rFonts w:hint="eastAsia"/>
          <w:color w:val="auto"/>
          <w:highlight w:val="none"/>
        </w:rPr>
      </w:pPr>
    </w:p>
    <w:p>
      <w:pPr>
        <w:pStyle w:val="2"/>
        <w:pageBreakBefore/>
        <w:spacing w:line="360" w:lineRule="auto"/>
        <w:jc w:val="center"/>
        <w:rPr>
          <w:rFonts w:hint="eastAsia"/>
          <w:bCs/>
          <w:color w:val="auto"/>
          <w:sz w:val="28"/>
          <w:szCs w:val="28"/>
          <w:highlight w:val="none"/>
        </w:rPr>
      </w:pPr>
      <w:bookmarkStart w:id="101" w:name="_Toc18450"/>
      <w:bookmarkStart w:id="102" w:name="_Toc30918"/>
      <w:bookmarkStart w:id="103" w:name="_Toc27873"/>
      <w:bookmarkStart w:id="104" w:name="_Toc17111"/>
      <w:bookmarkStart w:id="105" w:name="_Toc21792"/>
      <w:bookmarkStart w:id="106" w:name="_Toc3724"/>
      <w:r>
        <w:rPr>
          <w:rFonts w:hint="eastAsia"/>
          <w:bCs/>
          <w:color w:val="auto"/>
          <w:sz w:val="28"/>
          <w:szCs w:val="28"/>
          <w:highlight w:val="none"/>
        </w:rPr>
        <w:t>第二部分  价格文件</w:t>
      </w:r>
      <w:bookmarkEnd w:id="78"/>
      <w:bookmarkEnd w:id="79"/>
      <w:bookmarkEnd w:id="80"/>
      <w:bookmarkEnd w:id="81"/>
      <w:bookmarkEnd w:id="82"/>
      <w:bookmarkEnd w:id="83"/>
      <w:bookmarkEnd w:id="84"/>
      <w:bookmarkEnd w:id="101"/>
      <w:bookmarkEnd w:id="102"/>
      <w:bookmarkStart w:id="107" w:name="_Hlt10519799"/>
      <w:bookmarkEnd w:id="107"/>
      <w:bookmarkStart w:id="108" w:name="_Hlt10456397"/>
      <w:bookmarkEnd w:id="108"/>
      <w:r>
        <w:rPr>
          <w:rFonts w:hint="eastAsia"/>
          <w:bCs/>
          <w:color w:val="auto"/>
          <w:sz w:val="28"/>
          <w:szCs w:val="28"/>
          <w:highlight w:val="none"/>
        </w:rPr>
        <w:t>（单独装订成册）</w:t>
      </w:r>
      <w:bookmarkEnd w:id="103"/>
      <w:bookmarkEnd w:id="104"/>
      <w:bookmarkEnd w:id="105"/>
      <w:bookmarkEnd w:id="106"/>
    </w:p>
    <w:p>
      <w:pPr>
        <w:rPr>
          <w:rFonts w:hint="eastAsia"/>
          <w:color w:val="auto"/>
          <w:highlight w:val="none"/>
        </w:rPr>
      </w:pPr>
    </w:p>
    <w:p>
      <w:pPr>
        <w:pStyle w:val="4"/>
        <w:numPr>
          <w:ilvl w:val="1"/>
          <w:numId w:val="28"/>
        </w:numPr>
        <w:spacing w:line="360" w:lineRule="auto"/>
        <w:ind w:left="0" w:firstLine="0"/>
        <w:jc w:val="center"/>
        <w:rPr>
          <w:rFonts w:hint="eastAsia"/>
          <w:b/>
          <w:color w:val="auto"/>
          <w:highlight w:val="none"/>
        </w:rPr>
      </w:pPr>
      <w:bookmarkStart w:id="109" w:name="_Toc3014"/>
      <w:bookmarkStart w:id="110" w:name="_Toc123"/>
      <w:bookmarkStart w:id="111" w:name="_Toc26372"/>
      <w:bookmarkStart w:id="112" w:name="_Toc23292"/>
      <w:bookmarkStart w:id="113" w:name="_Toc32012"/>
      <w:bookmarkStart w:id="114" w:name="_Toc2118"/>
      <w:bookmarkStart w:id="115" w:name="_Toc15441"/>
      <w:bookmarkStart w:id="116" w:name="_Toc30136"/>
      <w:bookmarkStart w:id="117" w:name="_Toc7483"/>
      <w:bookmarkStart w:id="118" w:name="_Toc32151"/>
      <w:r>
        <w:rPr>
          <w:rFonts w:hint="eastAsia"/>
          <w:b/>
          <w:color w:val="auto"/>
          <w:highlight w:val="none"/>
        </w:rPr>
        <w:t>开标一览表</w:t>
      </w:r>
      <w:bookmarkEnd w:id="109"/>
      <w:bookmarkEnd w:id="110"/>
      <w:bookmarkEnd w:id="111"/>
      <w:bookmarkEnd w:id="112"/>
      <w:bookmarkEnd w:id="113"/>
      <w:bookmarkEnd w:id="114"/>
      <w:bookmarkEnd w:id="115"/>
      <w:bookmarkEnd w:id="116"/>
      <w:bookmarkEnd w:id="117"/>
      <w:bookmarkEnd w:id="118"/>
    </w:p>
    <w:p>
      <w:pPr>
        <w:pStyle w:val="26"/>
        <w:spacing w:line="360" w:lineRule="auto"/>
        <w:jc w:val="left"/>
        <w:rPr>
          <w:rFonts w:hint="eastAsia" w:hAnsi="宋体"/>
          <w:color w:val="auto"/>
          <w:szCs w:val="21"/>
          <w:highlight w:val="none"/>
        </w:rPr>
      </w:pPr>
      <w:r>
        <w:rPr>
          <w:rFonts w:hint="eastAsia" w:hAnsi="宋体" w:cs="宋体"/>
          <w:color w:val="auto"/>
          <w:szCs w:val="21"/>
          <w:highlight w:val="none"/>
        </w:rPr>
        <w:t>项目名称：</w:t>
      </w:r>
    </w:p>
    <w:p>
      <w:pPr>
        <w:pStyle w:val="26"/>
        <w:spacing w:line="360" w:lineRule="auto"/>
        <w:jc w:val="left"/>
        <w:rPr>
          <w:rFonts w:hint="eastAsia" w:hAnsi="宋体"/>
          <w:color w:val="auto"/>
          <w:szCs w:val="21"/>
          <w:highlight w:val="none"/>
        </w:rPr>
      </w:pPr>
      <w:r>
        <w:rPr>
          <w:rFonts w:hint="eastAsia" w:hAnsi="宋体" w:cs="宋体"/>
          <w:color w:val="auto"/>
          <w:szCs w:val="21"/>
          <w:highlight w:val="none"/>
        </w:rPr>
        <w:t>招标编号：</w:t>
      </w:r>
    </w:p>
    <w:p>
      <w:pPr>
        <w:widowControl/>
        <w:wordWrap w:val="0"/>
        <w:spacing w:line="360" w:lineRule="auto"/>
        <w:jc w:val="both"/>
        <w:rPr>
          <w:rFonts w:hint="eastAsia" w:hAnsi="宋体"/>
          <w:color w:val="auto"/>
          <w:sz w:val="22"/>
          <w:szCs w:val="22"/>
          <w:highlight w:val="none"/>
        </w:rPr>
      </w:pPr>
      <w:bookmarkStart w:id="119" w:name="_Toc367438833"/>
      <w:r>
        <w:rPr>
          <w:rFonts w:hint="eastAsia" w:hAnsi="宋体"/>
          <w:color w:val="auto"/>
          <w:szCs w:val="21"/>
          <w:highlight w:val="none"/>
        </w:rPr>
        <w:t xml:space="preserve">       </w:t>
      </w:r>
      <w:r>
        <w:rPr>
          <w:rFonts w:hint="eastAsia" w:hAnsi="宋体"/>
          <w:color w:val="auto"/>
          <w:highlight w:val="none"/>
        </w:rPr>
        <w:t xml:space="preserve">                                                      </w:t>
      </w:r>
      <w:r>
        <w:rPr>
          <w:rFonts w:ascii="ˎ̥" w:hAnsi="ˎ̥" w:cs="宋体"/>
          <w:color w:val="auto"/>
          <w:sz w:val="18"/>
          <w:szCs w:val="18"/>
          <w:highlight w:val="none"/>
        </w:rPr>
        <w:t> </w:t>
      </w:r>
      <w:r>
        <w:rPr>
          <w:rFonts w:hint="eastAsia" w:hAnsi="宋体"/>
          <w:color w:val="auto"/>
          <w:sz w:val="22"/>
          <w:szCs w:val="22"/>
          <w:highlight w:val="none"/>
        </w:rPr>
        <w:t>单位：/</w:t>
      </w:r>
    </w:p>
    <w:tbl>
      <w:tblPr>
        <w:tblStyle w:val="49"/>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3224"/>
        <w:gridCol w:w="16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2269" w:type="dxa"/>
            <w:noWrap w:val="0"/>
            <w:vAlign w:val="center"/>
          </w:tcPr>
          <w:p>
            <w:pPr>
              <w:jc w:val="center"/>
              <w:rPr>
                <w:rFonts w:hint="eastAsia" w:hAnsi="宋体" w:cs="宋体"/>
                <w:color w:val="auto"/>
                <w:sz w:val="21"/>
                <w:szCs w:val="21"/>
                <w:highlight w:val="none"/>
              </w:rPr>
            </w:pPr>
            <w:r>
              <w:rPr>
                <w:rFonts w:hint="eastAsia" w:hAnsi="宋体" w:cs="宋体"/>
                <w:color w:val="auto"/>
                <w:sz w:val="21"/>
                <w:szCs w:val="21"/>
                <w:highlight w:val="none"/>
              </w:rPr>
              <w:t>内容</w:t>
            </w:r>
          </w:p>
        </w:tc>
        <w:tc>
          <w:tcPr>
            <w:tcW w:w="3224" w:type="dxa"/>
            <w:noWrap w:val="0"/>
            <w:vAlign w:val="center"/>
          </w:tcPr>
          <w:p>
            <w:pPr>
              <w:jc w:val="center"/>
              <w:rPr>
                <w:rFonts w:hint="eastAsia" w:hAnsi="宋体" w:cs="宋体"/>
                <w:bCs/>
                <w:color w:val="auto"/>
                <w:kern w:val="2"/>
                <w:sz w:val="21"/>
                <w:szCs w:val="21"/>
                <w:highlight w:val="none"/>
                <w:lang w:bidi="ar"/>
              </w:rPr>
            </w:pPr>
            <w:r>
              <w:rPr>
                <w:color w:val="auto"/>
                <w:sz w:val="21"/>
                <w:szCs w:val="21"/>
                <w:highlight w:val="none"/>
              </w:rPr>
              <w:t>工程造价咨询服务收费系数</w:t>
            </w:r>
          </w:p>
        </w:tc>
        <w:tc>
          <w:tcPr>
            <w:tcW w:w="1662" w:type="dxa"/>
            <w:noWrap w:val="0"/>
            <w:vAlign w:val="center"/>
          </w:tcPr>
          <w:p>
            <w:pPr>
              <w:jc w:val="center"/>
              <w:rPr>
                <w:rFonts w:hint="eastAsia" w:hAnsi="宋体" w:cs="宋体"/>
                <w:bCs/>
                <w:color w:val="auto"/>
                <w:kern w:val="2"/>
                <w:sz w:val="21"/>
                <w:szCs w:val="21"/>
                <w:highlight w:val="none"/>
                <w:lang w:bidi="ar"/>
              </w:rPr>
            </w:pPr>
            <w:r>
              <w:rPr>
                <w:rFonts w:hint="eastAsia" w:hAnsi="宋体" w:cs="宋体"/>
                <w:bCs/>
                <w:color w:val="auto"/>
                <w:kern w:val="2"/>
                <w:sz w:val="21"/>
                <w:szCs w:val="21"/>
                <w:highlight w:val="none"/>
                <w:lang w:bidi="ar"/>
              </w:rPr>
              <w:t>税率</w:t>
            </w:r>
          </w:p>
        </w:tc>
        <w:tc>
          <w:tcPr>
            <w:tcW w:w="1662" w:type="dxa"/>
            <w:noWrap w:val="0"/>
            <w:vAlign w:val="center"/>
          </w:tcPr>
          <w:p>
            <w:pPr>
              <w:jc w:val="center"/>
              <w:rPr>
                <w:rFonts w:hint="eastAsia" w:hAnsi="宋体" w:cs="宋体"/>
                <w:bCs/>
                <w:color w:val="auto"/>
                <w:kern w:val="2"/>
                <w:sz w:val="21"/>
                <w:szCs w:val="21"/>
                <w:highlight w:val="none"/>
                <w:lang w:bidi="ar"/>
              </w:rPr>
            </w:pPr>
            <w:r>
              <w:rPr>
                <w:rFonts w:hint="eastAsia" w:hAnsi="宋体" w:cs="宋体"/>
                <w:bCs/>
                <w:color w:val="auto"/>
                <w:kern w:val="2"/>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exact"/>
          <w:jc w:val="center"/>
        </w:trPr>
        <w:tc>
          <w:tcPr>
            <w:tcW w:w="2269" w:type="dxa"/>
            <w:noWrap w:val="0"/>
            <w:vAlign w:val="center"/>
          </w:tcPr>
          <w:p>
            <w:pPr>
              <w:spacing w:line="360" w:lineRule="auto"/>
              <w:jc w:val="center"/>
              <w:rPr>
                <w:rFonts w:hint="eastAsia" w:hAnsi="宋体" w:eastAsia="宋体" w:cs="宋体"/>
                <w:color w:val="auto"/>
                <w:sz w:val="21"/>
                <w:szCs w:val="21"/>
                <w:highlight w:val="none"/>
                <w:lang w:eastAsia="zh-CN"/>
              </w:rPr>
            </w:pPr>
            <w:r>
              <w:rPr>
                <w:rFonts w:hint="eastAsia" w:hAnsi="宋体"/>
                <w:color w:val="auto"/>
                <w:sz w:val="21"/>
                <w:szCs w:val="21"/>
                <w:highlight w:val="none"/>
                <w:lang w:eastAsia="zh-CN"/>
              </w:rPr>
              <w:t>东莞市湾区国际制造中心总部预算审核</w:t>
            </w:r>
          </w:p>
        </w:tc>
        <w:tc>
          <w:tcPr>
            <w:tcW w:w="3224" w:type="dxa"/>
            <w:noWrap w:val="0"/>
            <w:vAlign w:val="center"/>
          </w:tcPr>
          <w:p>
            <w:pPr>
              <w:rPr>
                <w:color w:val="auto"/>
                <w:sz w:val="21"/>
                <w:szCs w:val="21"/>
                <w:highlight w:val="none"/>
              </w:rPr>
            </w:pPr>
            <w:r>
              <w:rPr>
                <w:rFonts w:hint="eastAsia"/>
                <w:color w:val="auto"/>
                <w:sz w:val="21"/>
                <w:szCs w:val="21"/>
                <w:highlight w:val="none"/>
              </w:rPr>
              <w:t>大写：</w:t>
            </w:r>
            <w:r>
              <w:rPr>
                <w:rFonts w:hint="eastAsia"/>
                <w:color w:val="auto"/>
                <w:sz w:val="21"/>
                <w:szCs w:val="21"/>
                <w:highlight w:val="none"/>
                <w:u w:val="single"/>
              </w:rPr>
              <w:t xml:space="preserve">         </w:t>
            </w:r>
          </w:p>
          <w:p>
            <w:pPr>
              <w:pStyle w:val="2"/>
              <w:rPr>
                <w:rFonts w:hint="eastAsia" w:cs="宋体"/>
                <w:color w:val="auto"/>
                <w:sz w:val="21"/>
                <w:szCs w:val="21"/>
                <w:highlight w:val="none"/>
              </w:rPr>
            </w:pPr>
          </w:p>
          <w:p>
            <w:pPr>
              <w:pStyle w:val="2"/>
              <w:rPr>
                <w:color w:val="auto"/>
                <w:sz w:val="21"/>
                <w:szCs w:val="21"/>
                <w:highlight w:val="none"/>
              </w:rPr>
            </w:pPr>
            <w:bookmarkStart w:id="120" w:name="_Toc11207"/>
            <w:bookmarkStart w:id="121" w:name="_Toc31052"/>
            <w:r>
              <w:rPr>
                <w:rFonts w:hint="eastAsia" w:cs="宋体"/>
                <w:b w:val="0"/>
                <w:bCs/>
                <w:color w:val="auto"/>
                <w:sz w:val="21"/>
                <w:szCs w:val="21"/>
                <w:highlight w:val="none"/>
              </w:rPr>
              <w:t>小写：</w:t>
            </w:r>
            <w:bookmarkEnd w:id="120"/>
            <w:bookmarkEnd w:id="121"/>
            <w:r>
              <w:rPr>
                <w:rFonts w:hint="eastAsia" w:cs="宋体"/>
                <w:b w:val="0"/>
                <w:bCs/>
                <w:color w:val="auto"/>
                <w:sz w:val="21"/>
                <w:szCs w:val="21"/>
                <w:highlight w:val="none"/>
                <w:u w:val="single"/>
              </w:rPr>
              <w:t xml:space="preserve">         </w:t>
            </w:r>
          </w:p>
        </w:tc>
        <w:tc>
          <w:tcPr>
            <w:tcW w:w="1662" w:type="dxa"/>
            <w:noWrap w:val="0"/>
            <w:vAlign w:val="center"/>
          </w:tcPr>
          <w:p>
            <w:pPr>
              <w:ind w:firstLine="210" w:firstLineChars="10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w:t>
            </w:r>
          </w:p>
        </w:tc>
        <w:tc>
          <w:tcPr>
            <w:tcW w:w="1662" w:type="dxa"/>
            <w:noWrap w:val="0"/>
            <w:vAlign w:val="center"/>
          </w:tcPr>
          <w:p>
            <w:pPr>
              <w:rPr>
                <w:rFonts w:hint="eastAsia" w:hAnsi="宋体" w:cs="宋体"/>
                <w:color w:val="auto"/>
                <w:sz w:val="21"/>
                <w:szCs w:val="21"/>
                <w:highlight w:val="none"/>
              </w:rPr>
            </w:pPr>
            <w:r>
              <w:rPr>
                <w:color w:val="auto"/>
                <w:sz w:val="21"/>
                <w:szCs w:val="21"/>
                <w:highlight w:val="none"/>
              </w:rPr>
              <w:t>工程造价咨询服务收费系数</w:t>
            </w:r>
            <w:r>
              <w:rPr>
                <w:rFonts w:hint="eastAsia"/>
                <w:color w:val="auto"/>
                <w:sz w:val="21"/>
                <w:szCs w:val="21"/>
                <w:highlight w:val="none"/>
              </w:rPr>
              <w:t>的</w:t>
            </w:r>
            <w:r>
              <w:rPr>
                <w:color w:val="auto"/>
                <w:sz w:val="21"/>
                <w:szCs w:val="21"/>
                <w:highlight w:val="none"/>
              </w:rPr>
              <w:t>有效区间：</w:t>
            </w:r>
            <w:r>
              <w:rPr>
                <w:rFonts w:hint="eastAsia" w:hAnsi="宋体" w:cs="宋体"/>
                <w:color w:val="auto"/>
                <w:sz w:val="21"/>
                <w:szCs w:val="21"/>
                <w:highlight w:val="none"/>
              </w:rPr>
              <w:t>≤0.</w:t>
            </w:r>
            <w:r>
              <w:rPr>
                <w:rFonts w:hint="eastAsia" w:hAnsi="宋体" w:cs="宋体"/>
                <w:color w:val="auto"/>
                <w:sz w:val="21"/>
                <w:szCs w:val="21"/>
                <w:highlight w:val="none"/>
                <w:lang w:val="en-US" w:eastAsia="zh-CN"/>
              </w:rPr>
              <w:t>72</w:t>
            </w:r>
            <w:r>
              <w:rPr>
                <w:rFonts w:hint="eastAsia" w:hAnsi="宋体" w:cs="宋体"/>
                <w:color w:val="auto"/>
                <w:sz w:val="21"/>
                <w:szCs w:val="21"/>
                <w:highlight w:val="none"/>
              </w:rPr>
              <w:t>，</w:t>
            </w:r>
            <w:r>
              <w:rPr>
                <w:rFonts w:hint="eastAsia"/>
                <w:color w:val="auto"/>
                <w:sz w:val="21"/>
                <w:szCs w:val="21"/>
                <w:highlight w:val="none"/>
              </w:rPr>
              <w:t>保留小数点后两位</w:t>
            </w:r>
            <w:r>
              <w:rPr>
                <w:color w:val="auto"/>
                <w:sz w:val="21"/>
                <w:szCs w:val="21"/>
                <w:highlight w:val="none"/>
              </w:rPr>
              <w:t xml:space="preserve"> </w:t>
            </w:r>
          </w:p>
        </w:tc>
      </w:tr>
    </w:tbl>
    <w:p>
      <w:pPr>
        <w:rPr>
          <w:color w:val="auto"/>
          <w:highlight w:val="none"/>
        </w:rPr>
      </w:pPr>
    </w:p>
    <w:p>
      <w:pPr>
        <w:rPr>
          <w:rFonts w:hint="eastAsia" w:hAnsi="宋体" w:cs="宋体"/>
          <w:color w:val="auto"/>
          <w:sz w:val="21"/>
          <w:szCs w:val="21"/>
          <w:highlight w:val="none"/>
        </w:rPr>
      </w:pPr>
    </w:p>
    <w:p>
      <w:pPr>
        <w:rPr>
          <w:rFonts w:hint="eastAsia" w:hAnsi="宋体" w:cs="宋体"/>
          <w:color w:val="auto"/>
          <w:sz w:val="21"/>
          <w:szCs w:val="21"/>
          <w:highlight w:val="none"/>
        </w:rPr>
      </w:pPr>
      <w:r>
        <w:rPr>
          <w:rFonts w:hint="eastAsia" w:hAnsi="宋体" w:cs="宋体"/>
          <w:color w:val="auto"/>
          <w:sz w:val="21"/>
          <w:szCs w:val="21"/>
          <w:highlight w:val="none"/>
        </w:rPr>
        <w:t>注：</w:t>
      </w:r>
    </w:p>
    <w:p>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1、投标总报价包括招标文件要求全部货物及服务所需的费用、履行合同所有相关内容所需的费用、国家规定的所有税费及其他一切隐含或不可预见的费用。</w:t>
      </w:r>
    </w:p>
    <w:p>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2、投标人自行对本服务项目范围内的现场及周边环境进行踏勘，收集相关资料，并承担由此所发生的费用以及责任、风险。</w:t>
      </w:r>
    </w:p>
    <w:p>
      <w:pPr>
        <w:spacing w:line="360" w:lineRule="auto"/>
        <w:ind w:firstLine="843" w:firstLineChars="400"/>
        <w:rPr>
          <w:rFonts w:hint="eastAsia" w:cs="宋体"/>
          <w:b/>
          <w:color w:val="auto"/>
          <w:sz w:val="21"/>
          <w:szCs w:val="21"/>
          <w:highlight w:val="none"/>
        </w:rPr>
      </w:pPr>
      <w:bookmarkStart w:id="122" w:name="_Toc17584"/>
      <w:r>
        <w:rPr>
          <w:rFonts w:hint="eastAsia" w:cs="宋体"/>
          <w:b/>
          <w:color w:val="auto"/>
          <w:sz w:val="21"/>
          <w:szCs w:val="21"/>
          <w:highlight w:val="none"/>
        </w:rPr>
        <w:t>3、最终工程造价咨询费结算价以经招标人审定的施工图预算作为收费基数，按招标文件第五篇合同附件4的计费标准计算的费用乘以中标工程造价咨询服务收费系数计算。</w:t>
      </w:r>
      <w:bookmarkEnd w:id="122"/>
    </w:p>
    <w:p>
      <w:pPr>
        <w:tabs>
          <w:tab w:val="left" w:pos="3240"/>
        </w:tabs>
        <w:spacing w:line="360" w:lineRule="auto"/>
        <w:ind w:left="400" w:firstLine="420" w:firstLineChars="200"/>
        <w:rPr>
          <w:rFonts w:hint="eastAsia" w:hAnsi="宋体" w:cs="宋体"/>
          <w:color w:val="auto"/>
          <w:sz w:val="21"/>
          <w:szCs w:val="21"/>
          <w:highlight w:val="none"/>
        </w:rPr>
      </w:pPr>
      <w:r>
        <w:rPr>
          <w:rFonts w:hint="eastAsia" w:hAnsi="宋体" w:cs="宋体"/>
          <w:color w:val="auto"/>
          <w:sz w:val="21"/>
          <w:szCs w:val="21"/>
          <w:highlight w:val="none"/>
        </w:rPr>
        <w:t>4、在合同期间，</w:t>
      </w:r>
      <w:r>
        <w:rPr>
          <w:color w:val="auto"/>
          <w:sz w:val="21"/>
          <w:szCs w:val="21"/>
          <w:highlight w:val="none"/>
        </w:rPr>
        <w:t>工程造价咨询服务收费系数</w:t>
      </w:r>
      <w:r>
        <w:rPr>
          <w:rFonts w:hint="eastAsia" w:hAnsi="宋体" w:cs="宋体"/>
          <w:color w:val="auto"/>
          <w:sz w:val="21"/>
          <w:szCs w:val="21"/>
          <w:highlight w:val="none"/>
        </w:rPr>
        <w:t xml:space="preserve">不随国家政策或法规、标准、市场因素及招标数量的变化而进行调整。 </w:t>
      </w:r>
    </w:p>
    <w:p>
      <w:pPr>
        <w:snapToGrid w:val="0"/>
        <w:spacing w:line="360" w:lineRule="auto"/>
        <w:rPr>
          <w:rFonts w:hint="eastAsia" w:hAnsi="宋体"/>
          <w:bCs/>
          <w:color w:val="auto"/>
          <w:kern w:val="2"/>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p>
    <w:bookmarkEnd w:id="119"/>
    <w:p>
      <w:pPr>
        <w:pStyle w:val="2"/>
        <w:pageBreakBefore/>
        <w:spacing w:line="360" w:lineRule="auto"/>
        <w:jc w:val="center"/>
        <w:rPr>
          <w:rFonts w:hint="eastAsia"/>
          <w:bCs/>
          <w:color w:val="auto"/>
          <w:sz w:val="28"/>
          <w:szCs w:val="28"/>
          <w:highlight w:val="none"/>
        </w:rPr>
      </w:pPr>
      <w:bookmarkStart w:id="123" w:name="_Toc12670"/>
      <w:bookmarkStart w:id="124" w:name="_Toc14132"/>
      <w:bookmarkStart w:id="125" w:name="_Toc30719"/>
      <w:bookmarkStart w:id="126" w:name="_Toc20676"/>
      <w:bookmarkStart w:id="127" w:name="_Toc396137247"/>
      <w:bookmarkStart w:id="128" w:name="_Toc7148"/>
      <w:bookmarkStart w:id="129" w:name="_Toc18558"/>
      <w:bookmarkStart w:id="130" w:name="_Toc28193"/>
      <w:bookmarkStart w:id="131" w:name="_Toc22897"/>
      <w:bookmarkStart w:id="132" w:name="_Toc11355"/>
      <w:bookmarkStart w:id="133" w:name="_Toc12356"/>
      <w:bookmarkStart w:id="134" w:name="_Toc10950"/>
      <w:bookmarkStart w:id="135" w:name="_Toc11812"/>
      <w:bookmarkStart w:id="136" w:name="_Toc367438805"/>
      <w:r>
        <w:rPr>
          <w:rFonts w:hint="eastAsia"/>
          <w:bCs/>
          <w:color w:val="auto"/>
          <w:sz w:val="28"/>
          <w:szCs w:val="28"/>
          <w:highlight w:val="none"/>
        </w:rPr>
        <w:t>第三部分 商务文件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rPr>
          <w:rFonts w:hint="eastAsia"/>
          <w:color w:val="auto"/>
          <w:highlight w:val="none"/>
        </w:rPr>
      </w:pPr>
    </w:p>
    <w:p>
      <w:pPr>
        <w:pStyle w:val="4"/>
        <w:numPr>
          <w:ilvl w:val="1"/>
          <w:numId w:val="29"/>
        </w:numPr>
        <w:spacing w:line="360" w:lineRule="auto"/>
        <w:jc w:val="center"/>
        <w:rPr>
          <w:rFonts w:hint="eastAsia"/>
          <w:b/>
          <w:color w:val="auto"/>
          <w:highlight w:val="none"/>
        </w:rPr>
      </w:pPr>
      <w:bookmarkStart w:id="137" w:name="_Hlt10519541"/>
      <w:bookmarkEnd w:id="137"/>
      <w:bookmarkStart w:id="138" w:name="_Toc30518"/>
      <w:bookmarkStart w:id="139" w:name="_Toc8562"/>
      <w:bookmarkStart w:id="140" w:name="_Toc11683"/>
      <w:bookmarkStart w:id="141" w:name="_Toc3069"/>
      <w:bookmarkStart w:id="142" w:name="_Toc31977"/>
      <w:bookmarkStart w:id="143" w:name="_Toc8824"/>
      <w:bookmarkStart w:id="144" w:name="_Toc12811"/>
      <w:bookmarkStart w:id="145" w:name="_Toc4091"/>
      <w:bookmarkStart w:id="146" w:name="_Toc2969"/>
      <w:bookmarkStart w:id="147" w:name="_Toc28761"/>
      <w:bookmarkStart w:id="148" w:name="_Toc13947"/>
      <w:bookmarkStart w:id="149" w:name="_Toc10400"/>
      <w:r>
        <w:rPr>
          <w:rFonts w:hint="eastAsia"/>
          <w:b/>
          <w:color w:val="auto"/>
          <w:highlight w:val="none"/>
        </w:rPr>
        <w:t>投标函</w:t>
      </w:r>
      <w:bookmarkEnd w:id="138"/>
      <w:bookmarkEnd w:id="139"/>
      <w:bookmarkEnd w:id="140"/>
      <w:bookmarkEnd w:id="141"/>
      <w:bookmarkEnd w:id="142"/>
      <w:bookmarkEnd w:id="143"/>
      <w:bookmarkEnd w:id="144"/>
      <w:bookmarkEnd w:id="145"/>
      <w:bookmarkEnd w:id="146"/>
      <w:bookmarkEnd w:id="147"/>
      <w:bookmarkEnd w:id="148"/>
      <w:bookmarkEnd w:id="149"/>
    </w:p>
    <w:p>
      <w:pPr>
        <w:spacing w:line="360" w:lineRule="auto"/>
        <w:rPr>
          <w:rFonts w:hAnsi="宋体"/>
          <w:color w:val="auto"/>
          <w:sz w:val="21"/>
          <w:szCs w:val="21"/>
          <w:highlight w:val="none"/>
        </w:rPr>
      </w:pPr>
      <w:r>
        <w:rPr>
          <w:rFonts w:hint="eastAsia" w:hAnsi="宋体"/>
          <w:color w:val="auto"/>
          <w:sz w:val="21"/>
          <w:szCs w:val="21"/>
          <w:highlight w:val="none"/>
        </w:rPr>
        <w:t xml:space="preserve">致：广东泰通伟业工程咨询有限公司 </w:t>
      </w:r>
    </w:p>
    <w:p>
      <w:pPr>
        <w:spacing w:line="360" w:lineRule="auto"/>
        <w:ind w:firstLine="420"/>
        <w:jc w:val="both"/>
        <w:rPr>
          <w:rFonts w:hAnsi="宋体"/>
          <w:color w:val="auto"/>
          <w:kern w:val="2"/>
          <w:sz w:val="21"/>
          <w:szCs w:val="21"/>
          <w:highlight w:val="none"/>
          <w:lang w:val="zh-CN"/>
        </w:rPr>
      </w:pPr>
      <w:r>
        <w:rPr>
          <w:rFonts w:hint="eastAsia" w:hAnsi="宋体"/>
          <w:color w:val="auto"/>
          <w:kern w:val="2"/>
          <w:sz w:val="21"/>
          <w:szCs w:val="21"/>
          <w:highlight w:val="none"/>
          <w:lang w:val="zh-CN"/>
        </w:rPr>
        <w:t>根据贵方</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u w:val="single"/>
          <w:lang w:val="zh-CN"/>
        </w:rPr>
        <w:t>项目名称）</w:t>
      </w:r>
      <w:r>
        <w:rPr>
          <w:rFonts w:hint="eastAsia" w:hAnsi="宋体"/>
          <w:color w:val="auto"/>
          <w:sz w:val="21"/>
          <w:szCs w:val="32"/>
          <w:highlight w:val="none"/>
          <w:u w:val="single"/>
        </w:rPr>
        <w:t>(</w:t>
      </w:r>
      <w:r>
        <w:rPr>
          <w:rFonts w:hint="eastAsia" w:hAnsi="宋体"/>
          <w:color w:val="auto"/>
          <w:kern w:val="2"/>
          <w:sz w:val="21"/>
          <w:szCs w:val="21"/>
          <w:highlight w:val="none"/>
          <w:u w:val="single"/>
          <w:lang w:val="zh-CN"/>
        </w:rPr>
        <w:t>项目编号：    )</w:t>
      </w:r>
      <w:r>
        <w:rPr>
          <w:rFonts w:hint="eastAsia" w:hAnsi="宋体"/>
          <w:color w:val="auto"/>
          <w:kern w:val="2"/>
          <w:sz w:val="21"/>
          <w:szCs w:val="21"/>
          <w:highlight w:val="none"/>
          <w:lang w:val="zh-CN"/>
        </w:rPr>
        <w:t>的投标邀请，我方</w:t>
      </w:r>
      <w:r>
        <w:rPr>
          <w:rFonts w:hAnsi="宋体"/>
          <w:color w:val="auto"/>
          <w:kern w:val="2"/>
          <w:sz w:val="21"/>
          <w:szCs w:val="21"/>
          <w:highlight w:val="none"/>
          <w:u w:val="single"/>
          <w:lang w:val="zh-CN"/>
        </w:rPr>
        <w:t xml:space="preserve"> </w:t>
      </w:r>
      <w:r>
        <w:rPr>
          <w:rFonts w:hint="eastAsia" w:hAnsi="宋体"/>
          <w:color w:val="auto"/>
          <w:kern w:val="2"/>
          <w:sz w:val="21"/>
          <w:szCs w:val="21"/>
          <w:highlight w:val="none"/>
          <w:u w:val="single"/>
          <w:lang w:val="zh-CN"/>
        </w:rPr>
        <w:t xml:space="preserve">   （投标人名称）  </w:t>
      </w:r>
      <w:r>
        <w:rPr>
          <w:rFonts w:hint="eastAsia" w:hAnsi="宋体"/>
          <w:color w:val="auto"/>
          <w:kern w:val="2"/>
          <w:sz w:val="21"/>
          <w:szCs w:val="21"/>
          <w:highlight w:val="none"/>
          <w:lang w:val="zh-CN"/>
        </w:rPr>
        <w:t>作为投标人正式授权</w:t>
      </w:r>
      <w:r>
        <w:rPr>
          <w:rFonts w:hint="eastAsia" w:hAnsi="宋体"/>
          <w:color w:val="auto"/>
          <w:kern w:val="2"/>
          <w:sz w:val="21"/>
          <w:szCs w:val="21"/>
          <w:highlight w:val="none"/>
          <w:u w:val="single"/>
          <w:lang w:val="zh-CN"/>
        </w:rPr>
        <w:t xml:space="preserve">　　（授权代表全名，职务）   </w:t>
      </w:r>
      <w:r>
        <w:rPr>
          <w:rFonts w:hint="eastAsia" w:hAnsi="宋体"/>
          <w:color w:val="auto"/>
          <w:kern w:val="2"/>
          <w:sz w:val="21"/>
          <w:szCs w:val="21"/>
          <w:highlight w:val="none"/>
          <w:lang w:val="zh-CN"/>
        </w:rPr>
        <w:t>代表我方进行有关本次投标的一切事宜。</w:t>
      </w:r>
    </w:p>
    <w:p>
      <w:pPr>
        <w:spacing w:line="360" w:lineRule="auto"/>
        <w:ind w:firstLine="420"/>
        <w:jc w:val="both"/>
        <w:rPr>
          <w:rFonts w:hAnsi="宋体"/>
          <w:color w:val="auto"/>
          <w:kern w:val="2"/>
          <w:sz w:val="21"/>
          <w:szCs w:val="21"/>
          <w:highlight w:val="none"/>
          <w:lang w:val="zh-CN"/>
        </w:rPr>
      </w:pPr>
      <w:r>
        <w:rPr>
          <w:rFonts w:hint="eastAsia" w:hAnsi="宋体"/>
          <w:color w:val="auto"/>
          <w:kern w:val="2"/>
          <w:sz w:val="21"/>
          <w:szCs w:val="21"/>
          <w:highlight w:val="none"/>
          <w:lang w:val="zh-CN"/>
        </w:rPr>
        <w:t>在此提交的投标文件，已按招标文件的要求密封封装。包括但不限于如下内容：</w:t>
      </w:r>
    </w:p>
    <w:p>
      <w:pPr>
        <w:spacing w:line="360" w:lineRule="auto"/>
        <w:ind w:left="718" w:leftChars="299"/>
        <w:jc w:val="both"/>
        <w:rPr>
          <w:rFonts w:hAnsi="宋体"/>
          <w:color w:val="auto"/>
          <w:kern w:val="2"/>
          <w:sz w:val="21"/>
          <w:szCs w:val="21"/>
          <w:highlight w:val="none"/>
          <w:lang w:val="zh-CN"/>
        </w:rPr>
      </w:pPr>
      <w:r>
        <w:rPr>
          <w:rFonts w:hint="eastAsia" w:hAnsi="宋体"/>
          <w:color w:val="auto"/>
          <w:kern w:val="2"/>
          <w:sz w:val="21"/>
          <w:szCs w:val="21"/>
          <w:highlight w:val="none"/>
          <w:lang w:val="zh-CN"/>
        </w:rPr>
        <w:t>（1）资格证明文件【一份】（按招标文件要求的内容编制）；</w:t>
      </w:r>
    </w:p>
    <w:p>
      <w:pPr>
        <w:spacing w:line="360" w:lineRule="auto"/>
        <w:ind w:left="718" w:leftChars="29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（2）投标文件【含商务文件、技术文件和价格文件，正本一份，副本</w:t>
      </w:r>
      <w:r>
        <w:rPr>
          <w:rFonts w:hint="eastAsia" w:hAnsi="宋体"/>
          <w:color w:val="auto"/>
          <w:kern w:val="2"/>
          <w:sz w:val="21"/>
          <w:szCs w:val="21"/>
          <w:highlight w:val="none"/>
          <w:u w:val="single"/>
          <w:lang w:val="zh-CN"/>
        </w:rPr>
        <w:t xml:space="preserve">   </w:t>
      </w:r>
      <w:r>
        <w:rPr>
          <w:rFonts w:hint="eastAsia" w:hAnsi="宋体"/>
          <w:color w:val="auto"/>
          <w:kern w:val="2"/>
          <w:sz w:val="21"/>
          <w:szCs w:val="21"/>
          <w:highlight w:val="none"/>
          <w:lang w:val="zh-CN"/>
        </w:rPr>
        <w:t>份】；</w:t>
      </w:r>
    </w:p>
    <w:p>
      <w:pPr>
        <w:spacing w:line="360" w:lineRule="auto"/>
        <w:ind w:left="718" w:leftChars="299"/>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（3）唱标信封【一份】（含电子文件）；</w:t>
      </w:r>
    </w:p>
    <w:p>
      <w:pPr>
        <w:spacing w:line="360" w:lineRule="auto"/>
        <w:ind w:firstLine="420"/>
        <w:jc w:val="both"/>
        <w:rPr>
          <w:rFonts w:hAnsi="宋体"/>
          <w:color w:val="auto"/>
          <w:kern w:val="2"/>
          <w:sz w:val="21"/>
          <w:szCs w:val="21"/>
          <w:highlight w:val="none"/>
          <w:lang w:val="zh-CN"/>
        </w:rPr>
      </w:pPr>
      <w:r>
        <w:rPr>
          <w:rFonts w:hint="eastAsia" w:hAnsi="宋体"/>
          <w:color w:val="auto"/>
          <w:kern w:val="2"/>
          <w:sz w:val="21"/>
          <w:szCs w:val="21"/>
          <w:highlight w:val="none"/>
          <w:lang w:val="zh-CN"/>
        </w:rPr>
        <w:t>我方己完全明白招标文件的所有条款要求，并重申以下几点：</w:t>
      </w:r>
    </w:p>
    <w:p>
      <w:pPr>
        <w:spacing w:line="360" w:lineRule="auto"/>
        <w:ind w:left="360" w:leftChars="150"/>
        <w:jc w:val="both"/>
        <w:rPr>
          <w:rFonts w:hAnsi="宋体"/>
          <w:color w:val="auto"/>
          <w:kern w:val="2"/>
          <w:sz w:val="21"/>
          <w:szCs w:val="21"/>
          <w:highlight w:val="none"/>
          <w:lang w:val="zh-CN"/>
        </w:rPr>
      </w:pPr>
      <w:r>
        <w:rPr>
          <w:rFonts w:hint="eastAsia" w:hAnsi="宋体"/>
          <w:color w:val="auto"/>
          <w:kern w:val="2"/>
          <w:sz w:val="21"/>
          <w:szCs w:val="21"/>
          <w:highlight w:val="none"/>
          <w:lang w:val="zh-CN"/>
        </w:rPr>
        <w:t>（</w:t>
      </w:r>
      <w:r>
        <w:rPr>
          <w:rFonts w:hAnsi="宋体"/>
          <w:color w:val="auto"/>
          <w:kern w:val="2"/>
          <w:sz w:val="21"/>
          <w:szCs w:val="21"/>
          <w:highlight w:val="none"/>
          <w:lang w:val="zh-CN"/>
        </w:rPr>
        <w:t>—</w:t>
      </w:r>
      <w:r>
        <w:rPr>
          <w:rFonts w:hint="eastAsia" w:hAnsi="宋体"/>
          <w:color w:val="auto"/>
          <w:kern w:val="2"/>
          <w:sz w:val="21"/>
          <w:szCs w:val="21"/>
          <w:highlight w:val="none"/>
          <w:lang w:val="zh-CN"/>
        </w:rPr>
        <w:t>）我方决定参加项目编号为</w:t>
      </w:r>
      <w:r>
        <w:rPr>
          <w:rFonts w:hint="eastAsia" w:hAnsi="宋体"/>
          <w:color w:val="auto"/>
          <w:kern w:val="2"/>
          <w:sz w:val="21"/>
          <w:szCs w:val="21"/>
          <w:highlight w:val="none"/>
          <w:u w:val="single"/>
          <w:lang w:val="zh-CN"/>
        </w:rPr>
        <w:t xml:space="preserve">    </w:t>
      </w:r>
      <w:r>
        <w:rPr>
          <w:rFonts w:hint="eastAsia" w:hAnsi="宋体"/>
          <w:color w:val="auto"/>
          <w:kern w:val="2"/>
          <w:sz w:val="21"/>
          <w:szCs w:val="21"/>
          <w:highlight w:val="none"/>
          <w:lang w:val="zh-CN"/>
        </w:rPr>
        <w:t>的投标；</w:t>
      </w:r>
    </w:p>
    <w:p>
      <w:pPr>
        <w:spacing w:line="360" w:lineRule="auto"/>
        <w:ind w:left="360" w:leftChars="150"/>
        <w:jc w:val="both"/>
        <w:rPr>
          <w:rFonts w:hAnsi="宋体"/>
          <w:color w:val="auto"/>
          <w:kern w:val="2"/>
          <w:sz w:val="21"/>
          <w:szCs w:val="21"/>
          <w:highlight w:val="none"/>
          <w:lang w:val="zh-CN"/>
        </w:rPr>
      </w:pPr>
      <w:r>
        <w:rPr>
          <w:rFonts w:hint="eastAsia" w:hAnsi="宋体"/>
          <w:color w:val="auto"/>
          <w:kern w:val="2"/>
          <w:sz w:val="21"/>
          <w:szCs w:val="21"/>
          <w:highlight w:val="none"/>
          <w:lang w:val="zh-CN"/>
        </w:rPr>
        <w:t>（二）本项目的投标报价（详见投标报价表）；</w:t>
      </w:r>
    </w:p>
    <w:p>
      <w:pPr>
        <w:spacing w:line="360" w:lineRule="auto"/>
        <w:ind w:left="990" w:leftChars="150" w:hanging="630" w:hangingChars="300"/>
        <w:jc w:val="both"/>
        <w:rPr>
          <w:rFonts w:hAnsi="宋体"/>
          <w:color w:val="auto"/>
          <w:kern w:val="2"/>
          <w:sz w:val="21"/>
          <w:szCs w:val="21"/>
          <w:highlight w:val="none"/>
          <w:lang w:val="zh-CN"/>
        </w:rPr>
      </w:pPr>
      <w:r>
        <w:rPr>
          <w:rFonts w:hint="eastAsia" w:hAnsi="宋体"/>
          <w:color w:val="auto"/>
          <w:kern w:val="2"/>
          <w:sz w:val="21"/>
          <w:szCs w:val="21"/>
          <w:highlight w:val="none"/>
          <w:lang w:val="zh-CN"/>
        </w:rPr>
        <w:t>（三）本投标文件的有效期自递交投标文件截止日后</w:t>
      </w:r>
      <w:r>
        <w:rPr>
          <w:rFonts w:hint="eastAsia" w:hAnsi="宋体"/>
          <w:color w:val="auto"/>
          <w:kern w:val="2"/>
          <w:sz w:val="21"/>
          <w:szCs w:val="21"/>
          <w:highlight w:val="none"/>
          <w:u w:val="single"/>
          <w:lang w:val="zh-CN"/>
        </w:rPr>
        <w:t xml:space="preserve"> 90 </w:t>
      </w:r>
      <w:r>
        <w:rPr>
          <w:rFonts w:hint="eastAsia" w:hAnsi="宋体"/>
          <w:color w:val="auto"/>
          <w:kern w:val="2"/>
          <w:sz w:val="21"/>
          <w:szCs w:val="21"/>
          <w:highlight w:val="none"/>
          <w:lang w:val="zh-CN"/>
        </w:rPr>
        <w:t>日有效，如中标，有效期将延至合同终止日为止；</w:t>
      </w:r>
    </w:p>
    <w:p>
      <w:pPr>
        <w:spacing w:line="360" w:lineRule="auto"/>
        <w:ind w:left="990" w:leftChars="150" w:hanging="630" w:hangingChars="300"/>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（四）我方已详细</w:t>
      </w:r>
      <w:r>
        <w:rPr>
          <w:rFonts w:hint="eastAsia" w:hAnsi="宋体"/>
          <w:color w:val="auto"/>
          <w:sz w:val="21"/>
          <w:szCs w:val="21"/>
          <w:highlight w:val="none"/>
        </w:rPr>
        <w:t>阅读并</w:t>
      </w:r>
      <w:r>
        <w:rPr>
          <w:rFonts w:hint="eastAsia" w:hAnsi="宋体"/>
          <w:color w:val="auto"/>
          <w:kern w:val="2"/>
          <w:sz w:val="21"/>
          <w:szCs w:val="21"/>
          <w:highlight w:val="none"/>
          <w:lang w:val="zh-CN"/>
        </w:rPr>
        <w:t>研究了招标文件的所有内容包括修正文、</w:t>
      </w:r>
      <w:r>
        <w:rPr>
          <w:rFonts w:hint="eastAsia" w:hAnsi="宋体"/>
          <w:color w:val="auto"/>
          <w:sz w:val="21"/>
          <w:szCs w:val="21"/>
          <w:highlight w:val="none"/>
        </w:rPr>
        <w:t>答疑纪要、澄清补充通知</w:t>
      </w:r>
      <w:r>
        <w:rPr>
          <w:rFonts w:hint="eastAsia" w:hAnsi="宋体"/>
          <w:color w:val="auto"/>
          <w:kern w:val="2"/>
          <w:sz w:val="21"/>
          <w:szCs w:val="21"/>
          <w:highlight w:val="none"/>
          <w:lang w:val="zh-CN"/>
        </w:rPr>
        <w:t>（如有）和所有已提供的参考资料以及有关附件，</w:t>
      </w:r>
      <w:r>
        <w:rPr>
          <w:rFonts w:hint="eastAsia" w:hAnsi="宋体"/>
          <w:color w:val="auto"/>
          <w:sz w:val="21"/>
          <w:szCs w:val="21"/>
          <w:highlight w:val="none"/>
        </w:rPr>
        <w:t>我们完全清晰理解招标文件的要求，不存在任何含糊不清和误解之处，</w:t>
      </w:r>
      <w:r>
        <w:rPr>
          <w:rFonts w:hint="eastAsia" w:hAnsi="宋体"/>
          <w:color w:val="auto"/>
          <w:kern w:val="2"/>
          <w:sz w:val="21"/>
          <w:szCs w:val="21"/>
          <w:highlight w:val="none"/>
          <w:lang w:val="zh-CN"/>
        </w:rPr>
        <w:t>我方</w:t>
      </w:r>
      <w:r>
        <w:rPr>
          <w:rFonts w:hint="eastAsia" w:hAnsi="宋体"/>
          <w:color w:val="auto"/>
          <w:sz w:val="21"/>
          <w:szCs w:val="21"/>
          <w:highlight w:val="none"/>
        </w:rPr>
        <w:t>同意</w:t>
      </w:r>
      <w:r>
        <w:rPr>
          <w:rFonts w:hint="eastAsia" w:hAnsi="宋体"/>
          <w:color w:val="auto"/>
          <w:kern w:val="2"/>
          <w:sz w:val="21"/>
          <w:szCs w:val="21"/>
          <w:highlight w:val="none"/>
          <w:lang w:val="zh-CN"/>
        </w:rPr>
        <w:t>放弃在此方面提出含糊意见或误解的一切权力；</w:t>
      </w:r>
    </w:p>
    <w:p>
      <w:pPr>
        <w:spacing w:line="360" w:lineRule="auto"/>
        <w:ind w:left="990" w:leftChars="150" w:hanging="630" w:hangingChars="300"/>
        <w:jc w:val="both"/>
        <w:rPr>
          <w:rFonts w:hAnsi="宋体"/>
          <w:color w:val="auto"/>
          <w:kern w:val="2"/>
          <w:sz w:val="21"/>
          <w:szCs w:val="21"/>
          <w:highlight w:val="none"/>
          <w:lang w:val="zh-CN"/>
        </w:rPr>
      </w:pPr>
      <w:r>
        <w:rPr>
          <w:rFonts w:hint="eastAsia" w:hAnsi="宋体"/>
          <w:color w:val="auto"/>
          <w:kern w:val="2"/>
          <w:sz w:val="21"/>
          <w:szCs w:val="21"/>
          <w:highlight w:val="none"/>
          <w:lang w:val="zh-CN"/>
        </w:rPr>
        <w:t>（五）我方明白并愿意在规定的递交投标文件截止时间和日期之后，投标有效期之内撤回投标，则投标保证金将被贵方没收；</w:t>
      </w:r>
    </w:p>
    <w:p>
      <w:pPr>
        <w:spacing w:line="360" w:lineRule="auto"/>
        <w:ind w:left="360" w:leftChars="150"/>
        <w:jc w:val="both"/>
        <w:rPr>
          <w:rFonts w:hAnsi="宋体"/>
          <w:color w:val="auto"/>
          <w:kern w:val="2"/>
          <w:sz w:val="21"/>
          <w:szCs w:val="21"/>
          <w:highlight w:val="none"/>
          <w:lang w:val="zh-CN"/>
        </w:rPr>
      </w:pPr>
      <w:r>
        <w:rPr>
          <w:rFonts w:hint="eastAsia" w:hAnsi="宋体"/>
          <w:color w:val="auto"/>
          <w:kern w:val="2"/>
          <w:sz w:val="21"/>
          <w:szCs w:val="21"/>
          <w:highlight w:val="none"/>
          <w:lang w:val="zh-CN"/>
        </w:rPr>
        <w:t>（六）我方同意按照贵方可能提出的要求而提供与投标有关的任何其它数据或信息；</w:t>
      </w:r>
    </w:p>
    <w:p>
      <w:pPr>
        <w:spacing w:line="360" w:lineRule="auto"/>
        <w:ind w:left="990" w:leftChars="150" w:hanging="630" w:hangingChars="300"/>
        <w:jc w:val="both"/>
        <w:rPr>
          <w:rFonts w:hAnsi="宋体"/>
          <w:color w:val="auto"/>
          <w:kern w:val="2"/>
          <w:sz w:val="21"/>
          <w:szCs w:val="21"/>
          <w:highlight w:val="none"/>
          <w:lang w:val="zh-CN"/>
        </w:rPr>
      </w:pPr>
      <w:r>
        <w:rPr>
          <w:rFonts w:hint="eastAsia" w:hAnsi="宋体"/>
          <w:color w:val="auto"/>
          <w:kern w:val="2"/>
          <w:sz w:val="21"/>
          <w:szCs w:val="21"/>
          <w:highlight w:val="none"/>
          <w:lang w:val="zh-CN"/>
        </w:rPr>
        <w:t>（七）我方完全服从和尊重评标委员会所作的评定结果，我方理解贵方不一定接受最低报价或任何贵方可能收到的报价；</w:t>
      </w:r>
    </w:p>
    <w:p>
      <w:pPr>
        <w:spacing w:line="360" w:lineRule="auto"/>
        <w:ind w:left="990" w:leftChars="150" w:hanging="630" w:hangingChars="300"/>
        <w:jc w:val="both"/>
        <w:rPr>
          <w:rFonts w:hAnsi="宋体"/>
          <w:color w:val="auto"/>
          <w:kern w:val="2"/>
          <w:sz w:val="21"/>
          <w:szCs w:val="21"/>
          <w:highlight w:val="none"/>
          <w:u w:val="single"/>
          <w:lang w:val="zh-CN"/>
        </w:rPr>
      </w:pPr>
      <w:r>
        <w:rPr>
          <w:rFonts w:hint="eastAsia" w:hAnsi="宋体"/>
          <w:color w:val="auto"/>
          <w:kern w:val="2"/>
          <w:sz w:val="21"/>
          <w:szCs w:val="21"/>
          <w:highlight w:val="none"/>
          <w:lang w:val="zh-CN"/>
        </w:rPr>
        <w:t>（八）我方如果中标，将保证履行招标文件以及</w:t>
      </w:r>
      <w:r>
        <w:rPr>
          <w:rFonts w:hint="eastAsia" w:hAnsi="宋体"/>
          <w:color w:val="auto"/>
          <w:sz w:val="21"/>
          <w:szCs w:val="21"/>
          <w:highlight w:val="none"/>
        </w:rPr>
        <w:t>答疑纪要、澄清补充通知等</w:t>
      </w:r>
      <w:r>
        <w:rPr>
          <w:rFonts w:hint="eastAsia" w:hAnsi="宋体"/>
          <w:color w:val="auto"/>
          <w:kern w:val="2"/>
          <w:sz w:val="21"/>
          <w:szCs w:val="21"/>
          <w:highlight w:val="none"/>
          <w:lang w:val="zh-CN"/>
        </w:rPr>
        <w:t>招标文件修改书（如有）中的全部责任和义务，按质、按量、按期完成《合同书》中的全部任务；</w:t>
      </w:r>
    </w:p>
    <w:p>
      <w:pPr>
        <w:spacing w:line="360" w:lineRule="auto"/>
        <w:ind w:left="360" w:leftChars="150"/>
        <w:jc w:val="both"/>
        <w:rPr>
          <w:rFonts w:hint="eastAsia" w:hAnsi="宋体"/>
          <w:color w:val="auto"/>
          <w:kern w:val="2"/>
          <w:sz w:val="21"/>
          <w:szCs w:val="21"/>
          <w:highlight w:val="none"/>
          <w:u w:val="single"/>
          <w:lang w:val="zh-CN"/>
        </w:rPr>
      </w:pPr>
      <w:r>
        <w:rPr>
          <w:rFonts w:hint="eastAsia" w:hAnsi="宋体"/>
          <w:color w:val="auto"/>
          <w:kern w:val="2"/>
          <w:sz w:val="21"/>
          <w:szCs w:val="21"/>
          <w:highlight w:val="none"/>
          <w:lang w:val="zh-CN"/>
        </w:rPr>
        <w:t>（九）所有与本投标有关的函件请发往下列地址：</w:t>
      </w:r>
    </w:p>
    <w:p>
      <w:pPr>
        <w:spacing w:line="360" w:lineRule="auto"/>
        <w:jc w:val="both"/>
        <w:rPr>
          <w:rFonts w:hAnsi="宋体"/>
          <w:color w:val="auto"/>
          <w:kern w:val="2"/>
          <w:sz w:val="21"/>
          <w:szCs w:val="21"/>
          <w:highlight w:val="none"/>
          <w:u w:val="single"/>
          <w:lang w:val="zh-CN"/>
        </w:rPr>
      </w:pPr>
      <w:r>
        <w:rPr>
          <w:rFonts w:hint="eastAsia" w:hAnsi="宋体"/>
          <w:color w:val="auto"/>
          <w:kern w:val="2"/>
          <w:sz w:val="21"/>
          <w:szCs w:val="21"/>
          <w:highlight w:val="none"/>
          <w:lang w:val="zh-CN"/>
        </w:rPr>
        <w:t>地</w:t>
      </w:r>
      <w:r>
        <w:rPr>
          <w:rFonts w:hAnsi="宋体"/>
          <w:color w:val="auto"/>
          <w:kern w:val="2"/>
          <w:sz w:val="21"/>
          <w:szCs w:val="21"/>
          <w:highlight w:val="none"/>
          <w:lang w:val="zh-CN"/>
        </w:rPr>
        <w:t xml:space="preserve">  </w:t>
      </w:r>
      <w:r>
        <w:rPr>
          <w:rFonts w:hint="eastAsia" w:hAnsi="宋体"/>
          <w:color w:val="auto"/>
          <w:kern w:val="2"/>
          <w:sz w:val="21"/>
          <w:szCs w:val="21"/>
          <w:highlight w:val="none"/>
          <w:lang w:val="zh-CN"/>
        </w:rPr>
        <w:t>　址：</w:t>
      </w:r>
      <w:r>
        <w:rPr>
          <w:rFonts w:hint="eastAsia" w:hAnsi="宋体"/>
          <w:color w:val="auto"/>
          <w:kern w:val="2"/>
          <w:sz w:val="21"/>
          <w:szCs w:val="21"/>
          <w:highlight w:val="none"/>
          <w:u w:val="single"/>
          <w:lang w:val="zh-CN"/>
        </w:rPr>
        <w:t>　　　　　　　　　　　</w:t>
      </w:r>
      <w:r>
        <w:rPr>
          <w:rFonts w:hAnsi="宋体"/>
          <w:color w:val="auto"/>
          <w:kern w:val="2"/>
          <w:sz w:val="21"/>
          <w:szCs w:val="21"/>
          <w:highlight w:val="none"/>
          <w:lang w:val="zh-CN"/>
        </w:rPr>
        <w:tab/>
      </w:r>
      <w:r>
        <w:rPr>
          <w:rFonts w:hAnsi="宋体"/>
          <w:color w:val="auto"/>
          <w:kern w:val="2"/>
          <w:sz w:val="21"/>
          <w:szCs w:val="21"/>
          <w:highlight w:val="none"/>
          <w:lang w:val="zh-CN"/>
        </w:rPr>
        <w:tab/>
      </w:r>
      <w:r>
        <w:rPr>
          <w:rFonts w:hint="eastAsia" w:hAnsi="宋体"/>
          <w:color w:val="auto"/>
          <w:kern w:val="2"/>
          <w:sz w:val="21"/>
          <w:szCs w:val="21"/>
          <w:highlight w:val="none"/>
          <w:lang w:val="zh-CN"/>
        </w:rPr>
        <w:t>邮政编码：</w:t>
      </w:r>
      <w:r>
        <w:rPr>
          <w:rFonts w:hint="eastAsia" w:hAnsi="宋体"/>
          <w:color w:val="auto"/>
          <w:kern w:val="2"/>
          <w:sz w:val="21"/>
          <w:szCs w:val="21"/>
          <w:highlight w:val="none"/>
          <w:u w:val="single"/>
          <w:lang w:val="zh-CN"/>
        </w:rPr>
        <w:t xml:space="preserve">　　　　　　　　　　 </w:t>
      </w:r>
    </w:p>
    <w:p>
      <w:pPr>
        <w:spacing w:line="360" w:lineRule="auto"/>
        <w:jc w:val="both"/>
        <w:rPr>
          <w:rFonts w:hAnsi="宋体"/>
          <w:color w:val="auto"/>
          <w:kern w:val="2"/>
          <w:sz w:val="21"/>
          <w:szCs w:val="21"/>
          <w:highlight w:val="none"/>
          <w:lang w:val="zh-CN"/>
        </w:rPr>
      </w:pPr>
      <w:r>
        <w:rPr>
          <w:rFonts w:hint="eastAsia" w:hAnsi="宋体"/>
          <w:color w:val="auto"/>
          <w:kern w:val="2"/>
          <w:sz w:val="21"/>
          <w:szCs w:val="21"/>
          <w:highlight w:val="none"/>
          <w:lang w:val="zh-CN"/>
        </w:rPr>
        <w:t>电　　话：</w:t>
      </w:r>
      <w:r>
        <w:rPr>
          <w:rFonts w:hint="eastAsia" w:hAnsi="宋体"/>
          <w:color w:val="auto"/>
          <w:kern w:val="2"/>
          <w:sz w:val="21"/>
          <w:szCs w:val="21"/>
          <w:highlight w:val="none"/>
          <w:u w:val="single"/>
          <w:lang w:val="zh-CN"/>
        </w:rPr>
        <w:t>　　　　　　　　　　　</w:t>
      </w:r>
      <w:r>
        <w:rPr>
          <w:rFonts w:hAnsi="宋体"/>
          <w:color w:val="auto"/>
          <w:kern w:val="2"/>
          <w:sz w:val="21"/>
          <w:szCs w:val="21"/>
          <w:highlight w:val="none"/>
          <w:lang w:val="zh-CN"/>
        </w:rPr>
        <w:tab/>
      </w:r>
      <w:r>
        <w:rPr>
          <w:rFonts w:hAnsi="宋体"/>
          <w:color w:val="auto"/>
          <w:kern w:val="2"/>
          <w:sz w:val="21"/>
          <w:szCs w:val="21"/>
          <w:highlight w:val="none"/>
          <w:lang w:val="zh-CN"/>
        </w:rPr>
        <w:tab/>
      </w:r>
      <w:r>
        <w:rPr>
          <w:rFonts w:hint="eastAsia" w:hAnsi="宋体"/>
          <w:color w:val="auto"/>
          <w:kern w:val="2"/>
          <w:sz w:val="21"/>
          <w:szCs w:val="21"/>
          <w:highlight w:val="none"/>
          <w:lang w:val="zh-CN"/>
        </w:rPr>
        <w:t>代表姓名：</w:t>
      </w:r>
      <w:r>
        <w:rPr>
          <w:rFonts w:hint="eastAsia" w:hAnsi="宋体"/>
          <w:color w:val="auto"/>
          <w:kern w:val="2"/>
          <w:sz w:val="21"/>
          <w:szCs w:val="21"/>
          <w:highlight w:val="none"/>
          <w:u w:val="single"/>
          <w:lang w:val="zh-CN"/>
        </w:rPr>
        <w:t xml:space="preserve">　　　　　　　　　　 </w:t>
      </w:r>
    </w:p>
    <w:p>
      <w:pPr>
        <w:spacing w:line="360" w:lineRule="auto"/>
        <w:jc w:val="both"/>
        <w:rPr>
          <w:rFonts w:hint="eastAsia" w:hAnsi="宋体"/>
          <w:color w:val="auto"/>
          <w:kern w:val="2"/>
          <w:sz w:val="21"/>
          <w:szCs w:val="21"/>
          <w:highlight w:val="none"/>
          <w:lang w:val="zh-CN"/>
        </w:rPr>
      </w:pPr>
      <w:r>
        <w:rPr>
          <w:rFonts w:hint="eastAsia" w:hAnsi="宋体"/>
          <w:color w:val="auto"/>
          <w:kern w:val="2"/>
          <w:sz w:val="21"/>
          <w:szCs w:val="21"/>
          <w:highlight w:val="none"/>
          <w:lang w:val="zh-CN"/>
        </w:rPr>
        <w:t>传　　真：</w:t>
      </w:r>
      <w:r>
        <w:rPr>
          <w:rFonts w:hint="eastAsia" w:hAnsi="宋体"/>
          <w:color w:val="auto"/>
          <w:kern w:val="2"/>
          <w:sz w:val="21"/>
          <w:szCs w:val="21"/>
          <w:highlight w:val="none"/>
          <w:u w:val="single"/>
          <w:lang w:val="zh-CN"/>
        </w:rPr>
        <w:t>　　　　　　　　　　　</w:t>
      </w:r>
      <w:r>
        <w:rPr>
          <w:rFonts w:hint="eastAsia" w:hAnsi="宋体"/>
          <w:color w:val="auto"/>
          <w:kern w:val="2"/>
          <w:sz w:val="21"/>
          <w:szCs w:val="21"/>
          <w:highlight w:val="none"/>
          <w:lang w:val="zh-CN"/>
        </w:rPr>
        <w:t xml:space="preserve">         职　　务：</w:t>
      </w:r>
      <w:r>
        <w:rPr>
          <w:rFonts w:hint="eastAsia" w:hAnsi="宋体"/>
          <w:color w:val="auto"/>
          <w:kern w:val="2"/>
          <w:sz w:val="21"/>
          <w:szCs w:val="21"/>
          <w:highlight w:val="none"/>
          <w:u w:val="single"/>
          <w:lang w:val="zh-CN"/>
        </w:rPr>
        <w:t xml:space="preserve">　　　　　　　　　　 </w:t>
      </w:r>
    </w:p>
    <w:p>
      <w:pPr>
        <w:snapToGrid w:val="0"/>
        <w:spacing w:line="360" w:lineRule="auto"/>
        <w:rPr>
          <w:rFonts w:hint="eastAsia" w:hAnsi="宋体"/>
          <w:color w:val="auto"/>
          <w:sz w:val="21"/>
          <w:szCs w:val="21"/>
          <w:highlight w:val="none"/>
          <w:u w:val="single"/>
        </w:rPr>
      </w:pPr>
      <w:bookmarkStart w:id="150" w:name="_Toc367438808"/>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 xml:space="preserve"> </w:t>
      </w:r>
    </w:p>
    <w:p>
      <w:pPr>
        <w:snapToGrid w:val="0"/>
        <w:spacing w:line="360" w:lineRule="auto"/>
        <w:rPr>
          <w:rFonts w:hint="eastAsia" w:hAnsi="宋体"/>
          <w:color w:val="auto"/>
          <w:sz w:val="21"/>
          <w:szCs w:val="21"/>
          <w:highlight w:val="none"/>
        </w:rPr>
      </w:pPr>
    </w:p>
    <w:bookmarkEnd w:id="150"/>
    <w:p>
      <w:pPr>
        <w:pStyle w:val="4"/>
        <w:pageBreakBefore/>
        <w:numPr>
          <w:ilvl w:val="1"/>
          <w:numId w:val="28"/>
        </w:numPr>
        <w:spacing w:line="360" w:lineRule="auto"/>
        <w:ind w:left="0" w:firstLine="0"/>
        <w:jc w:val="center"/>
        <w:rPr>
          <w:b/>
          <w:color w:val="auto"/>
          <w:highlight w:val="none"/>
        </w:rPr>
      </w:pPr>
      <w:bookmarkStart w:id="151" w:name="_Toc9907"/>
      <w:bookmarkStart w:id="152" w:name="_Toc22546"/>
      <w:bookmarkStart w:id="153" w:name="_Toc1722"/>
      <w:bookmarkStart w:id="154" w:name="_Toc18096"/>
      <w:bookmarkStart w:id="155" w:name="_Toc2273"/>
      <w:bookmarkStart w:id="156" w:name="_Toc30480"/>
      <w:bookmarkStart w:id="157" w:name="_Toc31564"/>
      <w:bookmarkStart w:id="158" w:name="_Toc21459"/>
      <w:bookmarkStart w:id="159" w:name="_Toc23676"/>
      <w:bookmarkStart w:id="160" w:name="_Toc16197"/>
      <w:bookmarkStart w:id="161" w:name="_Toc16091"/>
      <w:bookmarkStart w:id="162" w:name="_Toc28670"/>
      <w:r>
        <w:rPr>
          <w:rFonts w:hint="eastAsia"/>
          <w:b/>
          <w:color w:val="auto"/>
          <w:highlight w:val="none"/>
        </w:rPr>
        <w:t>投标承诺书</w:t>
      </w:r>
      <w:bookmarkEnd w:id="151"/>
      <w:bookmarkEnd w:id="152"/>
      <w:bookmarkEnd w:id="153"/>
      <w:bookmarkEnd w:id="154"/>
      <w:bookmarkEnd w:id="155"/>
      <w:bookmarkEnd w:id="156"/>
      <w:bookmarkEnd w:id="157"/>
      <w:bookmarkEnd w:id="158"/>
      <w:bookmarkEnd w:id="159"/>
      <w:bookmarkEnd w:id="160"/>
      <w:bookmarkEnd w:id="161"/>
      <w:bookmarkEnd w:id="162"/>
    </w:p>
    <w:p>
      <w:pPr>
        <w:pStyle w:val="26"/>
        <w:spacing w:line="360" w:lineRule="auto"/>
        <w:rPr>
          <w:rFonts w:hint="eastAsia" w:hAnsi="宋体"/>
          <w:b/>
          <w:color w:val="auto"/>
          <w:highlight w:val="none"/>
        </w:rPr>
      </w:pPr>
    </w:p>
    <w:p>
      <w:pPr>
        <w:pStyle w:val="26"/>
        <w:spacing w:line="360" w:lineRule="auto"/>
        <w:rPr>
          <w:rFonts w:hint="eastAsia" w:hAnsi="宋体"/>
          <w:b/>
          <w:color w:val="auto"/>
          <w:kern w:val="0"/>
          <w:sz w:val="28"/>
          <w:szCs w:val="28"/>
          <w:highlight w:val="none"/>
        </w:rPr>
      </w:pPr>
      <w:r>
        <w:rPr>
          <w:rFonts w:hint="eastAsia" w:hAnsi="宋体"/>
          <w:color w:val="auto"/>
          <w:highlight w:val="none"/>
        </w:rPr>
        <w:t>致：广东泰通伟业工程咨询有限公司</w:t>
      </w:r>
      <w:r>
        <w:rPr>
          <w:rFonts w:hint="eastAsia" w:hAnsi="宋体"/>
          <w:b/>
          <w:color w:val="auto"/>
          <w:kern w:val="0"/>
          <w:sz w:val="28"/>
          <w:szCs w:val="28"/>
          <w:highlight w:val="none"/>
        </w:rPr>
        <w:t xml:space="preserve"> </w:t>
      </w:r>
    </w:p>
    <w:p>
      <w:pPr>
        <w:spacing w:line="360" w:lineRule="auto"/>
        <w:rPr>
          <w:rFonts w:hint="eastAsia" w:hAnsi="宋体"/>
          <w:b/>
          <w:color w:val="auto"/>
          <w:sz w:val="28"/>
          <w:szCs w:val="28"/>
          <w:highlight w:val="none"/>
        </w:rPr>
      </w:pPr>
    </w:p>
    <w:p>
      <w:pPr>
        <w:pStyle w:val="26"/>
        <w:spacing w:line="360" w:lineRule="auto"/>
        <w:ind w:firstLine="420" w:firstLineChars="200"/>
        <w:rPr>
          <w:rFonts w:hint="eastAsia" w:hAnsi="宋体"/>
          <w:color w:val="auto"/>
          <w:highlight w:val="none"/>
        </w:rPr>
      </w:pPr>
      <w:r>
        <w:rPr>
          <w:rFonts w:hint="eastAsia" w:hAnsi="宋体"/>
          <w:color w:val="auto"/>
          <w:szCs w:val="21"/>
          <w:highlight w:val="none"/>
        </w:rPr>
        <w:t>我方</w:t>
      </w:r>
      <w:r>
        <w:rPr>
          <w:rFonts w:hint="eastAsia" w:hAnsi="宋体"/>
          <w:color w:val="auto"/>
          <w:szCs w:val="21"/>
          <w:highlight w:val="none"/>
          <w:u w:val="single"/>
        </w:rPr>
        <w:t xml:space="preserve">     （投标人名称）   </w:t>
      </w:r>
      <w:r>
        <w:rPr>
          <w:rFonts w:hint="eastAsia" w:hAnsi="宋体"/>
          <w:color w:val="auto"/>
          <w:szCs w:val="21"/>
          <w:highlight w:val="none"/>
        </w:rPr>
        <w:t>已完整阅读了</w:t>
      </w:r>
      <w:r>
        <w:rPr>
          <w:rFonts w:hint="eastAsia" w:hAnsi="宋体"/>
          <w:color w:val="auto"/>
          <w:szCs w:val="21"/>
          <w:highlight w:val="none"/>
          <w:u w:val="single"/>
        </w:rPr>
        <w:t xml:space="preserve">                      （</w:t>
      </w:r>
      <w:r>
        <w:rPr>
          <w:rFonts w:hint="eastAsia" w:hAnsi="宋体"/>
          <w:color w:val="auto"/>
          <w:szCs w:val="21"/>
          <w:highlight w:val="none"/>
          <w:u w:val="single"/>
          <w:lang w:val="zh-CN"/>
        </w:rPr>
        <w:t>项目名称）</w:t>
      </w:r>
      <w:r>
        <w:rPr>
          <w:rFonts w:hint="eastAsia" w:hAnsi="宋体"/>
          <w:color w:val="auto"/>
          <w:szCs w:val="32"/>
          <w:highlight w:val="none"/>
        </w:rPr>
        <w:t>(</w:t>
      </w:r>
      <w:r>
        <w:rPr>
          <w:rFonts w:hint="eastAsia" w:hAnsi="宋体"/>
          <w:color w:val="auto"/>
          <w:szCs w:val="21"/>
          <w:highlight w:val="none"/>
          <w:lang w:val="zh-CN"/>
        </w:rPr>
        <w:t>项目编号：   )</w:t>
      </w:r>
      <w:r>
        <w:rPr>
          <w:rFonts w:hint="eastAsia" w:hAnsi="宋体"/>
          <w:color w:val="auto"/>
          <w:szCs w:val="21"/>
          <w:highlight w:val="none"/>
        </w:rPr>
        <w:t>招标文件的所有内容（包括澄清，以及所有已提供的参考资料和有关附件），并完全理解上述文件所表达的意思，该项目递交投标文件时间截止后，我方承诺不再对上述文件内容进行询问或质疑。</w:t>
      </w:r>
    </w:p>
    <w:p>
      <w:pPr>
        <w:pStyle w:val="26"/>
        <w:spacing w:line="360" w:lineRule="auto"/>
        <w:rPr>
          <w:rFonts w:hint="eastAsia" w:hAnsi="宋体"/>
          <w:color w:val="auto"/>
          <w:highlight w:val="none"/>
        </w:rPr>
      </w:pPr>
    </w:p>
    <w:p>
      <w:pPr>
        <w:pStyle w:val="26"/>
        <w:spacing w:line="360" w:lineRule="auto"/>
        <w:ind w:firstLine="420" w:firstLineChars="200"/>
        <w:rPr>
          <w:rFonts w:hint="eastAsia" w:hAnsi="宋体"/>
          <w:color w:val="auto"/>
          <w:highlight w:val="none"/>
        </w:rPr>
      </w:pPr>
      <w:r>
        <w:rPr>
          <w:rFonts w:hint="eastAsia" w:hAnsi="宋体"/>
          <w:color w:val="auto"/>
          <w:highlight w:val="none"/>
        </w:rPr>
        <w:t>特此承诺！</w:t>
      </w:r>
    </w:p>
    <w:p>
      <w:pPr>
        <w:pStyle w:val="26"/>
        <w:spacing w:line="360" w:lineRule="auto"/>
        <w:rPr>
          <w:rFonts w:hint="eastAsia" w:hAnsi="宋体"/>
          <w:color w:val="auto"/>
          <w:highlight w:val="none"/>
        </w:rPr>
      </w:pPr>
    </w:p>
    <w:p>
      <w:pPr>
        <w:pStyle w:val="26"/>
        <w:spacing w:line="360" w:lineRule="auto"/>
        <w:rPr>
          <w:rFonts w:hint="eastAsia" w:hAnsi="宋体"/>
          <w:color w:val="auto"/>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Ansi="宋体"/>
          <w:color w:val="auto"/>
          <w:sz w:val="21"/>
          <w:szCs w:val="21"/>
          <w:highlight w:val="none"/>
        </w:rPr>
      </w:pPr>
      <w:r>
        <w:rPr>
          <w:rFonts w:hint="eastAsia" w:hAnsi="宋体"/>
          <w:color w:val="auto"/>
          <w:sz w:val="21"/>
          <w:szCs w:val="21"/>
          <w:highlight w:val="none"/>
        </w:rPr>
        <w:t xml:space="preserve"> </w:t>
      </w:r>
    </w:p>
    <w:p>
      <w:pPr>
        <w:rPr>
          <w:rFonts w:hint="eastAsia"/>
          <w:color w:val="auto"/>
          <w:highlight w:val="none"/>
        </w:rPr>
      </w:pPr>
      <w:bookmarkStart w:id="163" w:name="_Toc10548701"/>
    </w:p>
    <w:p>
      <w:pPr>
        <w:pStyle w:val="4"/>
        <w:pageBreakBefore/>
        <w:numPr>
          <w:ilvl w:val="1"/>
          <w:numId w:val="28"/>
        </w:numPr>
        <w:spacing w:line="360" w:lineRule="auto"/>
        <w:ind w:left="0" w:firstLine="0"/>
        <w:jc w:val="center"/>
        <w:rPr>
          <w:rFonts w:hint="eastAsia"/>
          <w:b/>
          <w:color w:val="auto"/>
          <w:highlight w:val="none"/>
        </w:rPr>
      </w:pPr>
      <w:bookmarkStart w:id="164" w:name="_Toc16803"/>
      <w:bookmarkStart w:id="165" w:name="_Toc13512"/>
      <w:bookmarkStart w:id="166" w:name="_Toc1248"/>
      <w:bookmarkStart w:id="167" w:name="_Toc12176"/>
      <w:bookmarkStart w:id="168" w:name="_Toc16283"/>
      <w:bookmarkStart w:id="169" w:name="_Toc20231"/>
      <w:bookmarkStart w:id="170" w:name="_Toc9874"/>
      <w:bookmarkStart w:id="171" w:name="_Toc16412"/>
      <w:bookmarkStart w:id="172" w:name="_Toc21378"/>
      <w:bookmarkStart w:id="173" w:name="_Toc19757"/>
      <w:bookmarkStart w:id="174" w:name="_Toc12162"/>
      <w:bookmarkStart w:id="175" w:name="_Toc23940"/>
      <w:r>
        <w:rPr>
          <w:rFonts w:hint="eastAsia"/>
          <w:b/>
          <w:color w:val="auto"/>
          <w:highlight w:val="none"/>
        </w:rPr>
        <w:t>法定代表人身份证明书</w:t>
      </w:r>
      <w:bookmarkEnd w:id="164"/>
      <w:bookmarkEnd w:id="165"/>
      <w:bookmarkEnd w:id="166"/>
      <w:bookmarkEnd w:id="167"/>
      <w:bookmarkEnd w:id="168"/>
      <w:bookmarkEnd w:id="169"/>
      <w:bookmarkEnd w:id="170"/>
      <w:bookmarkEnd w:id="171"/>
      <w:bookmarkEnd w:id="172"/>
      <w:bookmarkEnd w:id="173"/>
      <w:bookmarkEnd w:id="174"/>
      <w:bookmarkEnd w:id="175"/>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r>
        <w:rPr>
          <w:rFonts w:hint="eastAsia" w:hAnsi="宋体"/>
          <w:b/>
          <w:color w:val="auto"/>
          <w:sz w:val="21"/>
          <w:szCs w:val="21"/>
          <w:highlight w:val="none"/>
        </w:rPr>
        <w:t>致：广东泰通伟业工程咨询有限公司</w:t>
      </w:r>
    </w:p>
    <w:p>
      <w:pPr>
        <w:spacing w:line="360" w:lineRule="auto"/>
        <w:rPr>
          <w:rFonts w:hint="eastAsia" w:hAnsi="宋体"/>
          <w:color w:val="auto"/>
          <w:sz w:val="21"/>
          <w:szCs w:val="21"/>
          <w:highlight w:val="none"/>
        </w:rPr>
      </w:pPr>
    </w:p>
    <w:p>
      <w:pPr>
        <w:pStyle w:val="82"/>
        <w:spacing w:line="360" w:lineRule="auto"/>
        <w:ind w:firstLine="420" w:firstLineChars="200"/>
        <w:rPr>
          <w:rFonts w:hint="eastAsia" w:ascii="宋体" w:eastAsia="宋体"/>
          <w:color w:val="auto"/>
          <w:kern w:val="0"/>
          <w:sz w:val="21"/>
          <w:szCs w:val="21"/>
          <w:highlight w:val="none"/>
        </w:rPr>
      </w:pPr>
      <w:r>
        <w:rPr>
          <w:rFonts w:hint="eastAsia" w:ascii="宋体" w:eastAsia="宋体"/>
          <w:color w:val="auto"/>
          <w:kern w:val="0"/>
          <w:sz w:val="21"/>
          <w:szCs w:val="21"/>
          <w:highlight w:val="none"/>
        </w:rPr>
        <w:t>本证明书声明：</w:t>
      </w:r>
      <w:r>
        <w:rPr>
          <w:rFonts w:hint="eastAsia" w:ascii="宋体" w:eastAsia="宋体"/>
          <w:color w:val="auto"/>
          <w:sz w:val="21"/>
          <w:szCs w:val="21"/>
          <w:highlight w:val="none"/>
        </w:rPr>
        <w:t>注册于</w:t>
      </w:r>
      <w:r>
        <w:rPr>
          <w:rFonts w:hint="eastAsia" w:ascii="宋体" w:eastAsia="宋体"/>
          <w:color w:val="auto"/>
          <w:sz w:val="21"/>
          <w:szCs w:val="21"/>
          <w:highlight w:val="none"/>
          <w:u w:val="single"/>
        </w:rPr>
        <w:t xml:space="preserve">  （国家或地区）  </w:t>
      </w:r>
      <w:r>
        <w:rPr>
          <w:rFonts w:hint="eastAsia" w:ascii="宋体" w:eastAsia="宋体"/>
          <w:color w:val="auto"/>
          <w:sz w:val="21"/>
          <w:szCs w:val="21"/>
          <w:highlight w:val="none"/>
        </w:rPr>
        <w:t>的</w:t>
      </w:r>
      <w:r>
        <w:rPr>
          <w:rFonts w:hint="eastAsia" w:ascii="宋体" w:eastAsia="宋体"/>
          <w:color w:val="auto"/>
          <w:sz w:val="21"/>
          <w:szCs w:val="21"/>
          <w:highlight w:val="none"/>
          <w:u w:val="single"/>
        </w:rPr>
        <w:t xml:space="preserve">   （投标人名称）  </w:t>
      </w:r>
      <w:r>
        <w:rPr>
          <w:rFonts w:hint="eastAsia" w:ascii="宋体" w:eastAsia="宋体"/>
          <w:color w:val="auto"/>
          <w:sz w:val="21"/>
          <w:szCs w:val="21"/>
          <w:highlight w:val="none"/>
        </w:rPr>
        <w:t xml:space="preserve">的在下面签字的 </w:t>
      </w:r>
      <w:r>
        <w:rPr>
          <w:rFonts w:hint="eastAsia" w:ascii="宋体" w:eastAsia="宋体"/>
          <w:color w:val="auto"/>
          <w:sz w:val="21"/>
          <w:szCs w:val="21"/>
          <w:highlight w:val="none"/>
          <w:u w:val="single"/>
        </w:rPr>
        <w:t xml:space="preserve">   （法定代表人姓名、职务）  </w:t>
      </w:r>
      <w:r>
        <w:rPr>
          <w:rFonts w:hint="eastAsia" w:ascii="宋体" w:eastAsia="宋体"/>
          <w:color w:val="auto"/>
          <w:kern w:val="0"/>
          <w:sz w:val="21"/>
          <w:szCs w:val="21"/>
          <w:highlight w:val="none"/>
        </w:rPr>
        <w:t>为本公司的合法代表人。</w:t>
      </w:r>
    </w:p>
    <w:p>
      <w:pPr>
        <w:spacing w:line="360" w:lineRule="auto"/>
        <w:ind w:firstLine="420" w:firstLineChars="200"/>
        <w:rPr>
          <w:rFonts w:hint="eastAsia" w:hAnsi="宋体"/>
          <w:color w:val="auto"/>
          <w:sz w:val="21"/>
          <w:szCs w:val="21"/>
          <w:highlight w:val="none"/>
        </w:rPr>
      </w:pP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特此证明。</w:t>
      </w:r>
    </w:p>
    <w:p>
      <w:pPr>
        <w:spacing w:line="360" w:lineRule="auto"/>
        <w:ind w:right="420"/>
        <w:jc w:val="both"/>
        <w:rPr>
          <w:rFonts w:hint="eastAsia" w:hAnsi="宋体"/>
          <w:color w:val="auto"/>
          <w:sz w:val="21"/>
          <w:szCs w:val="21"/>
          <w:highlight w:val="none"/>
        </w:rPr>
      </w:pPr>
    </w:p>
    <w:p>
      <w:pPr>
        <w:spacing w:line="360" w:lineRule="auto"/>
        <w:ind w:right="420"/>
        <w:jc w:val="both"/>
        <w:rPr>
          <w:rFonts w:hint="eastAsia" w:hAnsi="宋体"/>
          <w:color w:val="auto"/>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pacing w:line="360" w:lineRule="auto"/>
        <w:rPr>
          <w:rFonts w:hint="eastAsia" w:hAnsi="宋体"/>
          <w:color w:val="auto"/>
          <w:sz w:val="21"/>
          <w:szCs w:val="21"/>
          <w:highlight w:val="none"/>
        </w:rPr>
      </w:pPr>
    </w:p>
    <w:p>
      <w:pPr>
        <w:spacing w:line="360" w:lineRule="auto"/>
        <w:rPr>
          <w:rFonts w:hint="eastAsia" w:hAnsi="宋体"/>
          <w:b/>
          <w:color w:val="auto"/>
          <w:sz w:val="21"/>
          <w:szCs w:val="21"/>
          <w:highlight w:val="none"/>
        </w:rPr>
      </w:pPr>
      <w:r>
        <w:rPr>
          <w:rFonts w:hint="eastAsia" w:hAnsi="宋体"/>
          <w:color w:val="auto"/>
          <w:sz w:val="21"/>
          <w:szCs w:val="21"/>
          <w:highlight w:val="none"/>
        </w:rPr>
        <w:t xml:space="preserve"> </w:t>
      </w:r>
      <w:r>
        <w:rPr>
          <w:rFonts w:hint="eastAsia" w:hAnsi="宋体"/>
          <w:b/>
          <w:color w:val="auto"/>
          <w:sz w:val="21"/>
          <w:szCs w:val="21"/>
          <w:highlight w:val="none"/>
        </w:rPr>
        <w:t xml:space="preserve"> (为避免无效标，请投标人务必提供下列附件)</w:t>
      </w: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r>
        <w:rPr>
          <w:rFonts w:hint="eastAsia" w:hAnsi="宋体"/>
          <w:b/>
          <w:color w:val="auto"/>
          <w:sz w:val="21"/>
          <w:szCs w:val="21"/>
          <w:highlight w:val="none"/>
        </w:rPr>
        <mc:AlternateContent>
          <mc:Choice Requires="wps">
            <w:drawing>
              <wp:anchor distT="0" distB="0" distL="114300" distR="114300" simplePos="0" relativeHeight="251668480" behindDoc="0" locked="0" layoutInCell="1" allowOverlap="1">
                <wp:simplePos x="0" y="0"/>
                <wp:positionH relativeFrom="column">
                  <wp:posOffset>1619250</wp:posOffset>
                </wp:positionH>
                <wp:positionV relativeFrom="paragraph">
                  <wp:posOffset>20320</wp:posOffset>
                </wp:positionV>
                <wp:extent cx="3004820" cy="1584325"/>
                <wp:effectExtent l="4445" t="4445" r="19685" b="11430"/>
                <wp:wrapNone/>
                <wp:docPr id="10" name="自选图形 2"/>
                <wp:cNvGraphicFramePr/>
                <a:graphic xmlns:a="http://schemas.openxmlformats.org/drawingml/2006/main">
                  <a:graphicData uri="http://schemas.microsoft.com/office/word/2010/wordprocessingShape">
                    <wps:wsp>
                      <wps:cNvSpPr/>
                      <wps:spPr>
                        <a:xfrm>
                          <a:off x="0" y="0"/>
                          <a:ext cx="3004820" cy="1584325"/>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pPr>
                            <w:r>
                              <w:rPr>
                                <w:rFonts w:hint="eastAsia" w:hAnsi="宋体"/>
                              </w:rPr>
                              <w:t>法定代表人身份证（正反面）复印件</w:t>
                            </w:r>
                          </w:p>
                        </w:txbxContent>
                      </wps:txbx>
                      <wps:bodyPr upright="1"/>
                    </wps:wsp>
                  </a:graphicData>
                </a:graphic>
              </wp:anchor>
            </w:drawing>
          </mc:Choice>
          <mc:Fallback>
            <w:pict>
              <v:shape id="自选图形 2" o:spid="_x0000_s1026" o:spt="176" type="#_x0000_t176" style="position:absolute;left:0pt;margin-left:127.5pt;margin-top:1.6pt;height:124.75pt;width:236.6pt;z-index:251668480;mso-width-relative:page;mso-height-relative:page;" filled="f" stroked="t" coordsize="21600,21600" o:gfxdata="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qlbr9YAAAAJAQAADwAAAAAA&#10;AAABACAAAAAiAAAAZHJzL2Rvd25yZXYueG1sUEsBAhQAFAAAAAgAh07iQCL2D0YVAgAAHQQAAA4A&#10;AAAAAAAAAQAgAAAAJQEAAGRycy9lMm9Eb2MueG1sUEsFBgAAAAAGAAYAWQEAAKwFAAAAAA==&#10;">
                <v:fill on="f"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pPr>
                      <w:r>
                        <w:rPr>
                          <w:rFonts w:hint="eastAsia" w:hAnsi="宋体"/>
                        </w:rPr>
                        <w:t>法定代表人身份证（正反面）复印件</w:t>
                      </w:r>
                    </w:p>
                  </w:txbxContent>
                </v:textbox>
              </v:shape>
            </w:pict>
          </mc:Fallback>
        </mc:AlternateContent>
      </w: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p>
    <w:p>
      <w:pPr>
        <w:spacing w:line="360" w:lineRule="auto"/>
        <w:rPr>
          <w:rFonts w:hint="eastAsia" w:hAnsi="宋体"/>
          <w:b/>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hAnsi="宋体"/>
          <w:color w:val="auto"/>
          <w:sz w:val="21"/>
          <w:szCs w:val="21"/>
          <w:highlight w:val="none"/>
        </w:rPr>
      </w:pPr>
    </w:p>
    <w:bookmarkEnd w:id="163"/>
    <w:p>
      <w:pPr>
        <w:spacing w:line="360" w:lineRule="auto"/>
        <w:jc w:val="center"/>
        <w:rPr>
          <w:rFonts w:hint="eastAsia" w:hAnsi="宋体"/>
          <w:b/>
          <w:color w:val="auto"/>
          <w:sz w:val="28"/>
          <w:szCs w:val="28"/>
          <w:highlight w:val="none"/>
        </w:rPr>
      </w:pPr>
    </w:p>
    <w:p>
      <w:pPr>
        <w:pStyle w:val="4"/>
        <w:pageBreakBefore/>
        <w:numPr>
          <w:ilvl w:val="1"/>
          <w:numId w:val="28"/>
        </w:numPr>
        <w:spacing w:line="360" w:lineRule="auto"/>
        <w:ind w:left="0" w:firstLine="0"/>
        <w:jc w:val="center"/>
        <w:rPr>
          <w:rFonts w:hint="eastAsia"/>
          <w:b/>
          <w:color w:val="auto"/>
          <w:highlight w:val="none"/>
        </w:rPr>
      </w:pPr>
      <w:bookmarkStart w:id="176" w:name="_Toc786"/>
      <w:bookmarkStart w:id="177" w:name="_Toc3368"/>
      <w:bookmarkStart w:id="178" w:name="_Toc20523"/>
      <w:bookmarkStart w:id="179" w:name="_Toc11735"/>
      <w:bookmarkStart w:id="180" w:name="_Toc16909"/>
      <w:bookmarkStart w:id="181" w:name="_Toc3808"/>
      <w:bookmarkStart w:id="182" w:name="_Toc29741"/>
      <w:bookmarkStart w:id="183" w:name="_Toc9723"/>
      <w:bookmarkStart w:id="184" w:name="_Toc7932"/>
      <w:bookmarkStart w:id="185" w:name="_Toc29424"/>
      <w:bookmarkStart w:id="186" w:name="_Toc15367"/>
      <w:bookmarkStart w:id="187" w:name="_Toc17156"/>
      <w:r>
        <w:rPr>
          <w:rFonts w:hint="eastAsia"/>
          <w:b/>
          <w:color w:val="auto"/>
          <w:highlight w:val="none"/>
        </w:rPr>
        <w:t>法定代表人授权委托书</w:t>
      </w:r>
      <w:bookmarkEnd w:id="176"/>
      <w:bookmarkEnd w:id="177"/>
      <w:bookmarkEnd w:id="178"/>
      <w:bookmarkEnd w:id="179"/>
      <w:bookmarkEnd w:id="180"/>
      <w:bookmarkEnd w:id="181"/>
      <w:bookmarkEnd w:id="182"/>
      <w:bookmarkEnd w:id="183"/>
      <w:bookmarkEnd w:id="184"/>
      <w:bookmarkEnd w:id="185"/>
      <w:bookmarkEnd w:id="186"/>
      <w:bookmarkEnd w:id="187"/>
    </w:p>
    <w:p>
      <w:pPr>
        <w:spacing w:line="360" w:lineRule="auto"/>
        <w:rPr>
          <w:rFonts w:hint="eastAsia" w:hAnsi="宋体"/>
          <w:color w:val="auto"/>
          <w:sz w:val="21"/>
          <w:szCs w:val="21"/>
          <w:highlight w:val="none"/>
        </w:rPr>
      </w:pPr>
    </w:p>
    <w:p>
      <w:pPr>
        <w:spacing w:line="360" w:lineRule="auto"/>
        <w:rPr>
          <w:rFonts w:hint="eastAsia" w:hAnsi="宋体"/>
          <w:b/>
          <w:color w:val="auto"/>
          <w:sz w:val="21"/>
          <w:szCs w:val="21"/>
          <w:highlight w:val="none"/>
        </w:rPr>
      </w:pPr>
      <w:r>
        <w:rPr>
          <w:rFonts w:hint="eastAsia" w:hAnsi="宋体"/>
          <w:b/>
          <w:color w:val="auto"/>
          <w:sz w:val="21"/>
          <w:szCs w:val="21"/>
          <w:highlight w:val="none"/>
        </w:rPr>
        <w:t>致：广东泰通伟业工程咨询有限公司</w:t>
      </w:r>
    </w:p>
    <w:p>
      <w:pPr>
        <w:spacing w:line="360" w:lineRule="auto"/>
        <w:rPr>
          <w:rFonts w:hint="eastAsia" w:hAnsi="宋体"/>
          <w:b/>
          <w:color w:val="auto"/>
          <w:sz w:val="21"/>
          <w:szCs w:val="21"/>
          <w:highlight w:val="none"/>
        </w:rPr>
      </w:pPr>
    </w:p>
    <w:p>
      <w:pPr>
        <w:pStyle w:val="26"/>
        <w:spacing w:line="360" w:lineRule="auto"/>
        <w:ind w:firstLine="420"/>
        <w:rPr>
          <w:rFonts w:hint="eastAsia" w:hAnsi="宋体"/>
          <w:color w:val="auto"/>
          <w:szCs w:val="21"/>
          <w:highlight w:val="none"/>
        </w:rPr>
      </w:pPr>
      <w:r>
        <w:rPr>
          <w:rFonts w:hint="eastAsia" w:hAnsi="宋体"/>
          <w:color w:val="auto"/>
          <w:szCs w:val="21"/>
          <w:highlight w:val="none"/>
        </w:rPr>
        <w:t>本授权书声明：注册于</w:t>
      </w:r>
      <w:r>
        <w:rPr>
          <w:rFonts w:hint="eastAsia" w:hAnsi="宋体"/>
          <w:color w:val="auto"/>
          <w:szCs w:val="21"/>
          <w:highlight w:val="none"/>
          <w:u w:val="single"/>
        </w:rPr>
        <w:t xml:space="preserve">  （国家或地区）  </w:t>
      </w:r>
      <w:r>
        <w:rPr>
          <w:rFonts w:hint="eastAsia" w:hAnsi="宋体"/>
          <w:color w:val="auto"/>
          <w:szCs w:val="21"/>
          <w:highlight w:val="none"/>
        </w:rPr>
        <w:t>的</w:t>
      </w:r>
      <w:r>
        <w:rPr>
          <w:rFonts w:hint="eastAsia" w:hAnsi="宋体"/>
          <w:color w:val="auto"/>
          <w:szCs w:val="21"/>
          <w:highlight w:val="none"/>
          <w:u w:val="single"/>
        </w:rPr>
        <w:t xml:space="preserve">   （投标人名称）  </w:t>
      </w:r>
      <w:r>
        <w:rPr>
          <w:rFonts w:hint="eastAsia" w:hAnsi="宋体"/>
          <w:color w:val="auto"/>
          <w:szCs w:val="21"/>
          <w:highlight w:val="none"/>
        </w:rPr>
        <w:t xml:space="preserve">的在下面签字的 </w:t>
      </w:r>
      <w:r>
        <w:rPr>
          <w:rFonts w:hint="eastAsia" w:hAnsi="宋体"/>
          <w:color w:val="auto"/>
          <w:szCs w:val="21"/>
          <w:highlight w:val="none"/>
          <w:u w:val="single"/>
        </w:rPr>
        <w:t xml:space="preserve">   （法定代表人姓名、职务）  </w:t>
      </w:r>
      <w:r>
        <w:rPr>
          <w:rFonts w:hint="eastAsia" w:hAnsi="宋体"/>
          <w:color w:val="auto"/>
          <w:szCs w:val="21"/>
          <w:highlight w:val="none"/>
        </w:rPr>
        <w:t>代表本公司授权在下面签名的</w:t>
      </w:r>
      <w:r>
        <w:rPr>
          <w:rFonts w:hint="eastAsia" w:hAnsi="宋体"/>
          <w:color w:val="auto"/>
          <w:szCs w:val="21"/>
          <w:highlight w:val="none"/>
          <w:u w:val="single"/>
        </w:rPr>
        <w:t xml:space="preserve">   （被授权人的姓名、职务）  </w:t>
      </w:r>
      <w:r>
        <w:rPr>
          <w:rFonts w:hint="eastAsia" w:hAnsi="宋体"/>
          <w:color w:val="auto"/>
          <w:szCs w:val="21"/>
          <w:highlight w:val="none"/>
        </w:rPr>
        <w:t>为本公司的合法代表人，就贵中心所代理的</w:t>
      </w:r>
      <w:r>
        <w:rPr>
          <w:rFonts w:hint="eastAsia" w:hAnsi="宋体"/>
          <w:color w:val="auto"/>
          <w:szCs w:val="21"/>
          <w:highlight w:val="none"/>
          <w:u w:val="single"/>
        </w:rPr>
        <w:t xml:space="preserve">                      （</w:t>
      </w:r>
      <w:r>
        <w:rPr>
          <w:rFonts w:hint="eastAsia" w:hAnsi="宋体"/>
          <w:color w:val="auto"/>
          <w:szCs w:val="21"/>
          <w:highlight w:val="none"/>
          <w:u w:val="single"/>
          <w:lang w:val="zh-CN"/>
        </w:rPr>
        <w:t>项目名称）</w:t>
      </w:r>
      <w:r>
        <w:rPr>
          <w:rFonts w:hint="eastAsia" w:hAnsi="宋体"/>
          <w:color w:val="auto"/>
          <w:szCs w:val="32"/>
          <w:highlight w:val="none"/>
        </w:rPr>
        <w:t>(</w:t>
      </w:r>
      <w:r>
        <w:rPr>
          <w:rFonts w:hint="eastAsia" w:hAnsi="宋体"/>
          <w:color w:val="auto"/>
          <w:szCs w:val="21"/>
          <w:highlight w:val="none"/>
          <w:lang w:val="zh-CN"/>
        </w:rPr>
        <w:t>项目编号：</w:t>
      </w:r>
      <w:r>
        <w:rPr>
          <w:rFonts w:hint="eastAsia" w:hAnsi="宋体"/>
          <w:color w:val="auto"/>
          <w:szCs w:val="21"/>
          <w:highlight w:val="none"/>
        </w:rPr>
        <w:t xml:space="preserve">   </w:t>
      </w:r>
      <w:r>
        <w:rPr>
          <w:rFonts w:hint="eastAsia" w:hAnsi="宋体"/>
          <w:color w:val="auto"/>
          <w:szCs w:val="21"/>
          <w:highlight w:val="none"/>
          <w:lang w:val="zh-CN"/>
        </w:rPr>
        <w:t>)</w:t>
      </w:r>
      <w:r>
        <w:rPr>
          <w:rFonts w:hint="eastAsia" w:hAnsi="宋体"/>
          <w:color w:val="auto"/>
          <w:szCs w:val="21"/>
          <w:highlight w:val="none"/>
        </w:rPr>
        <w:t>的投标和合同执行，以我方的名义处理一切与之有关的事宜。</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本授权书于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日生效，特此声明。</w:t>
      </w:r>
    </w:p>
    <w:p>
      <w:pPr>
        <w:spacing w:line="360" w:lineRule="auto"/>
        <w:rPr>
          <w:rFonts w:hint="eastAsia" w:hAnsi="宋体"/>
          <w:color w:val="auto"/>
          <w:sz w:val="21"/>
          <w:szCs w:val="21"/>
          <w:highlight w:val="none"/>
        </w:rPr>
      </w:pPr>
    </w:p>
    <w:p>
      <w:pPr>
        <w:spacing w:line="360" w:lineRule="auto"/>
        <w:jc w:val="both"/>
        <w:rPr>
          <w:rFonts w:hint="eastAsia" w:hAnsi="宋体"/>
          <w:color w:val="auto"/>
          <w:sz w:val="21"/>
          <w:szCs w:val="21"/>
          <w:highlight w:val="none"/>
        </w:rPr>
      </w:pPr>
    </w:p>
    <w:p>
      <w:pPr>
        <w:spacing w:line="360" w:lineRule="auto"/>
        <w:jc w:val="both"/>
        <w:rPr>
          <w:rFonts w:hint="eastAsia" w:hAnsi="宋体"/>
          <w:color w:val="auto"/>
          <w:sz w:val="21"/>
          <w:szCs w:val="21"/>
          <w:highlight w:val="none"/>
        </w:rPr>
      </w:pPr>
      <w:r>
        <w:rPr>
          <w:rFonts w:hint="eastAsia" w:hAnsi="宋体"/>
          <w:color w:val="auto"/>
          <w:sz w:val="21"/>
          <w:szCs w:val="21"/>
          <w:highlight w:val="none"/>
        </w:rPr>
        <w:t xml:space="preserve">投标人名称（盖章）： </w:t>
      </w:r>
    </w:p>
    <w:p>
      <w:pPr>
        <w:spacing w:line="360" w:lineRule="auto"/>
        <w:jc w:val="both"/>
        <w:rPr>
          <w:rFonts w:hint="eastAsia" w:hAnsi="宋体"/>
          <w:color w:val="auto"/>
          <w:sz w:val="21"/>
          <w:szCs w:val="21"/>
          <w:highlight w:val="none"/>
        </w:rPr>
      </w:pPr>
      <w:r>
        <w:rPr>
          <w:rFonts w:hint="eastAsia" w:hAnsi="宋体"/>
          <w:color w:val="auto"/>
          <w:sz w:val="21"/>
          <w:szCs w:val="21"/>
          <w:highlight w:val="none"/>
        </w:rPr>
        <w:t>法定代表人</w:t>
      </w:r>
      <w:r>
        <w:rPr>
          <w:rFonts w:hint="eastAsia"/>
          <w:color w:val="auto"/>
          <w:sz w:val="21"/>
          <w:szCs w:val="21"/>
          <w:highlight w:val="none"/>
        </w:rPr>
        <w:t>（签名或盖私章）</w:t>
      </w:r>
      <w:r>
        <w:rPr>
          <w:rFonts w:hint="eastAsia" w:hAnsi="宋体"/>
          <w:color w:val="auto"/>
          <w:sz w:val="21"/>
          <w:szCs w:val="21"/>
          <w:highlight w:val="none"/>
        </w:rPr>
        <w:t xml:space="preserve">： </w:t>
      </w:r>
    </w:p>
    <w:p>
      <w:pPr>
        <w:spacing w:line="360" w:lineRule="auto"/>
        <w:jc w:val="both"/>
        <w:rPr>
          <w:rFonts w:hint="eastAsia" w:hAnsi="宋体"/>
          <w:color w:val="auto"/>
          <w:sz w:val="21"/>
          <w:szCs w:val="21"/>
          <w:highlight w:val="none"/>
        </w:rPr>
      </w:pPr>
      <w:r>
        <w:rPr>
          <w:rFonts w:hint="eastAsia" w:hAnsi="宋体"/>
          <w:color w:val="auto"/>
          <w:sz w:val="21"/>
          <w:szCs w:val="21"/>
          <w:highlight w:val="none"/>
        </w:rPr>
        <w:t>被授权人</w:t>
      </w:r>
      <w:r>
        <w:rPr>
          <w:rFonts w:hint="eastAsia"/>
          <w:color w:val="auto"/>
          <w:sz w:val="21"/>
          <w:szCs w:val="21"/>
          <w:highlight w:val="none"/>
        </w:rPr>
        <w:t>（签名或盖私章）</w:t>
      </w:r>
      <w:r>
        <w:rPr>
          <w:rFonts w:hint="eastAsia" w:hAnsi="宋体"/>
          <w:color w:val="auto"/>
          <w:sz w:val="21"/>
          <w:szCs w:val="21"/>
          <w:highlight w:val="none"/>
        </w:rPr>
        <w:t xml:space="preserve">： </w:t>
      </w:r>
    </w:p>
    <w:p>
      <w:pPr>
        <w:spacing w:line="360" w:lineRule="auto"/>
        <w:jc w:val="both"/>
        <w:rPr>
          <w:rFonts w:hint="eastAsia" w:hAnsi="宋体"/>
          <w:color w:val="auto"/>
          <w:sz w:val="21"/>
          <w:szCs w:val="21"/>
          <w:highlight w:val="none"/>
        </w:rPr>
      </w:pPr>
      <w:r>
        <w:rPr>
          <w:rFonts w:hint="eastAsia" w:hAnsi="宋体"/>
          <w:color w:val="auto"/>
          <w:sz w:val="21"/>
          <w:szCs w:val="21"/>
          <w:highlight w:val="none"/>
        </w:rPr>
        <w:t>日期：</w:t>
      </w: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r>
        <w:rPr>
          <w:rFonts w:hint="eastAsia" w:hAnsi="宋体"/>
          <w:color w:val="auto"/>
          <w:sz w:val="21"/>
          <w:szCs w:val="21"/>
          <w:highlight w:val="none"/>
        </w:rPr>
        <w:t xml:space="preserve"> </w:t>
      </w:r>
      <w:r>
        <w:rPr>
          <w:rFonts w:hint="eastAsia" w:hAnsi="宋体"/>
          <w:b/>
          <w:color w:val="auto"/>
          <w:sz w:val="21"/>
          <w:szCs w:val="21"/>
          <w:highlight w:val="none"/>
        </w:rPr>
        <w:t xml:space="preserve"> (为避免无效标，请投标人务必提供下列附件)</w:t>
      </w: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r>
        <w:rPr>
          <w:rFonts w:hint="eastAsia" w:hAnsi="宋体"/>
          <w:color w:val="auto"/>
          <w:sz w:val="21"/>
          <w:szCs w:val="21"/>
          <w:highlight w:val="none"/>
          <w:u w:val="single"/>
        </w:rPr>
        <mc:AlternateContent>
          <mc:Choice Requires="wps">
            <w:drawing>
              <wp:anchor distT="0" distB="0" distL="114300" distR="114300" simplePos="0" relativeHeight="251669504" behindDoc="0" locked="0" layoutInCell="1" allowOverlap="1">
                <wp:simplePos x="0" y="0"/>
                <wp:positionH relativeFrom="column">
                  <wp:posOffset>1466850</wp:posOffset>
                </wp:positionH>
                <wp:positionV relativeFrom="paragraph">
                  <wp:posOffset>33020</wp:posOffset>
                </wp:positionV>
                <wp:extent cx="2656840" cy="1584325"/>
                <wp:effectExtent l="4445" t="4445" r="5715" b="11430"/>
                <wp:wrapNone/>
                <wp:docPr id="11" name="自选图形 3"/>
                <wp:cNvGraphicFramePr/>
                <a:graphic xmlns:a="http://schemas.openxmlformats.org/drawingml/2006/main">
                  <a:graphicData uri="http://schemas.microsoft.com/office/word/2010/wordprocessingShape">
                    <wps:wsp>
                      <wps:cNvSpPr/>
                      <wps:spPr>
                        <a:xfrm>
                          <a:off x="0" y="0"/>
                          <a:ext cx="2656840" cy="1584325"/>
                        </a:xfrm>
                        <a:prstGeom prst="flowChartAlternateProcess">
                          <a:avLst/>
                        </a:prstGeom>
                        <a:no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被授权人身份证（正反面）复印件</w:t>
                            </w:r>
                          </w:p>
                        </w:txbxContent>
                      </wps:txbx>
                      <wps:bodyPr upright="1"/>
                    </wps:wsp>
                  </a:graphicData>
                </a:graphic>
              </wp:anchor>
            </w:drawing>
          </mc:Choice>
          <mc:Fallback>
            <w:pict>
              <v:shape id="自选图形 3" o:spid="_x0000_s1026" o:spt="176" type="#_x0000_t176" style="position:absolute;left:0pt;margin-left:115.5pt;margin-top:2.6pt;height:124.75pt;width:209.2pt;z-index:251669504;mso-width-relative:page;mso-height-relative:page;" filled="f" stroked="t" coordsize="21600,21600" o:gfxdata="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rW5adcAAAAJAQAADwAA&#10;AAAAAAABACAAAAAiAAAAZHJzL2Rvd25yZXYueG1sUEsBAhQAFAAAAAgAh07iQB0Z57gXAgAAHQQA&#10;AA4AAAAAAAAAAQAgAAAAJgEAAGRycy9lMm9Eb2MueG1sUEsFBgAAAAAGAAYAWQEAAK8FAAAAAA==&#10;">
                <v:fill on="f"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被授权人身份证（正反面）复印件</w:t>
                      </w:r>
                    </w:p>
                  </w:txbxContent>
                </v:textbox>
              </v:shape>
            </w:pict>
          </mc:Fallback>
        </mc:AlternateContent>
      </w: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p>
    <w:p>
      <w:pPr>
        <w:spacing w:line="360" w:lineRule="auto"/>
        <w:ind w:firstLine="420"/>
        <w:rPr>
          <w:rFonts w:hint="eastAsia" w:hAnsi="宋体"/>
          <w:color w:val="auto"/>
          <w:sz w:val="21"/>
          <w:szCs w:val="21"/>
          <w:highlight w:val="none"/>
          <w:u w:val="single"/>
        </w:rPr>
      </w:pPr>
    </w:p>
    <w:p>
      <w:pPr>
        <w:spacing w:line="360" w:lineRule="auto"/>
        <w:rPr>
          <w:rFonts w:hint="eastAsia" w:hAnsi="宋体"/>
          <w:color w:val="auto"/>
          <w:szCs w:val="21"/>
          <w:highlight w:val="none"/>
          <w:u w:val="single"/>
        </w:rPr>
      </w:pPr>
    </w:p>
    <w:p>
      <w:pPr>
        <w:spacing w:line="360" w:lineRule="auto"/>
        <w:jc w:val="center"/>
        <w:rPr>
          <w:rFonts w:hint="eastAsia" w:hAnsi="宋体"/>
          <w:b/>
          <w:color w:val="auto"/>
          <w:sz w:val="28"/>
          <w:szCs w:val="28"/>
          <w:highlight w:val="none"/>
        </w:rPr>
      </w:pPr>
      <w:bookmarkStart w:id="188" w:name="_Toc10548704"/>
    </w:p>
    <w:p>
      <w:pPr>
        <w:spacing w:line="360" w:lineRule="auto"/>
        <w:rPr>
          <w:rFonts w:hint="eastAsia" w:hAnsi="宋体"/>
          <w:color w:val="auto"/>
          <w:sz w:val="28"/>
          <w:szCs w:val="28"/>
          <w:highlight w:val="none"/>
        </w:rPr>
      </w:pPr>
    </w:p>
    <w:p>
      <w:pPr>
        <w:pStyle w:val="4"/>
        <w:pageBreakBefore/>
        <w:numPr>
          <w:ilvl w:val="1"/>
          <w:numId w:val="28"/>
        </w:numPr>
        <w:spacing w:line="360" w:lineRule="auto"/>
        <w:ind w:left="0" w:firstLine="0"/>
        <w:jc w:val="center"/>
        <w:rPr>
          <w:rFonts w:hint="eastAsia"/>
          <w:b/>
          <w:color w:val="auto"/>
          <w:highlight w:val="none"/>
        </w:rPr>
      </w:pPr>
      <w:bookmarkStart w:id="189" w:name="_Toc3957"/>
      <w:bookmarkStart w:id="190" w:name="_Toc20510"/>
      <w:bookmarkStart w:id="191" w:name="_Toc998"/>
      <w:bookmarkStart w:id="192" w:name="_Toc14526"/>
      <w:bookmarkStart w:id="193" w:name="_Toc7696"/>
      <w:bookmarkStart w:id="194" w:name="_Toc26148"/>
      <w:bookmarkStart w:id="195" w:name="_Toc17665"/>
      <w:bookmarkStart w:id="196" w:name="_Toc24041"/>
      <w:bookmarkStart w:id="197" w:name="_Toc14938"/>
      <w:bookmarkStart w:id="198" w:name="_Toc23797"/>
      <w:bookmarkStart w:id="199" w:name="_Toc25348"/>
      <w:bookmarkStart w:id="200" w:name="_Toc13843"/>
      <w:r>
        <w:rPr>
          <w:rFonts w:hint="eastAsia"/>
          <w:b/>
          <w:color w:val="auto"/>
          <w:highlight w:val="none"/>
        </w:rPr>
        <w:t>投标人基本情况表</w:t>
      </w:r>
      <w:bookmarkEnd w:id="189"/>
      <w:bookmarkEnd w:id="190"/>
      <w:bookmarkEnd w:id="191"/>
      <w:bookmarkEnd w:id="192"/>
      <w:bookmarkEnd w:id="193"/>
      <w:bookmarkEnd w:id="194"/>
      <w:bookmarkEnd w:id="195"/>
      <w:bookmarkEnd w:id="196"/>
      <w:bookmarkEnd w:id="197"/>
      <w:bookmarkEnd w:id="198"/>
      <w:bookmarkEnd w:id="199"/>
      <w:bookmarkEnd w:id="200"/>
    </w:p>
    <w:p>
      <w:pPr>
        <w:spacing w:line="360" w:lineRule="auto"/>
        <w:ind w:firstLine="420" w:firstLineChars="200"/>
        <w:jc w:val="center"/>
        <w:rPr>
          <w:rFonts w:hint="eastAsia" w:hAnsi="宋体" w:cs="宋体"/>
          <w:color w:val="auto"/>
          <w:sz w:val="21"/>
          <w:szCs w:val="21"/>
          <w:highlight w:val="none"/>
        </w:rPr>
      </w:pPr>
    </w:p>
    <w:p>
      <w:pPr>
        <w:rPr>
          <w:rFonts w:hint="eastAsia"/>
          <w:color w:val="auto"/>
          <w:highlight w:val="none"/>
        </w:rPr>
      </w:pPr>
    </w:p>
    <w:p>
      <w:pPr>
        <w:numPr>
          <w:ilvl w:val="0"/>
          <w:numId w:val="30"/>
        </w:numPr>
        <w:tabs>
          <w:tab w:val="left" w:pos="426"/>
          <w:tab w:val="clear" w:pos="720"/>
        </w:tabs>
        <w:autoSpaceDE/>
        <w:autoSpaceDN/>
        <w:adjustRightInd/>
        <w:spacing w:before="120" w:beforeLines="50" w:after="120" w:afterLines="50" w:line="360" w:lineRule="auto"/>
        <w:jc w:val="both"/>
        <w:rPr>
          <w:rFonts w:hint="eastAsia" w:hAnsi="宋体" w:cs="Arial"/>
          <w:color w:val="auto"/>
          <w:sz w:val="21"/>
          <w:szCs w:val="21"/>
          <w:highlight w:val="none"/>
        </w:rPr>
      </w:pPr>
      <w:r>
        <w:rPr>
          <w:rFonts w:hint="eastAsia" w:hAnsi="宋体" w:cs="Arial"/>
          <w:color w:val="auto"/>
          <w:sz w:val="21"/>
          <w:szCs w:val="21"/>
          <w:highlight w:val="none"/>
        </w:rPr>
        <w:t>公司基本情况</w:t>
      </w:r>
    </w:p>
    <w:p>
      <w:pPr>
        <w:spacing w:before="120" w:beforeLines="50" w:after="120" w:afterLines="50" w:line="360" w:lineRule="auto"/>
        <w:rPr>
          <w:rFonts w:hint="eastAsia" w:hAnsi="宋体" w:cs="Arial"/>
          <w:color w:val="auto"/>
          <w:sz w:val="21"/>
          <w:szCs w:val="21"/>
          <w:highlight w:val="none"/>
        </w:rPr>
      </w:pPr>
      <w:r>
        <w:rPr>
          <w:rFonts w:hAnsi="宋体" w:cs="Arial"/>
          <w:color w:val="auto"/>
          <w:sz w:val="21"/>
          <w:szCs w:val="21"/>
          <w:highlight w:val="none"/>
        </w:rPr>
        <w:t>1</w:t>
      </w:r>
      <w:r>
        <w:rPr>
          <w:rFonts w:hint="eastAsia" w:hAnsi="宋体" w:cs="Arial"/>
          <w:color w:val="auto"/>
          <w:sz w:val="21"/>
          <w:szCs w:val="21"/>
          <w:highlight w:val="none"/>
        </w:rPr>
        <w:t>、公司名称：</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r>
        <w:rPr>
          <w:rFonts w:hAnsi="宋体" w:cs="Arial"/>
          <w:color w:val="auto"/>
          <w:sz w:val="21"/>
          <w:szCs w:val="21"/>
          <w:highlight w:val="none"/>
        </w:rPr>
        <w:t xml:space="preserve">  </w:t>
      </w:r>
      <w:r>
        <w:rPr>
          <w:rFonts w:hint="eastAsia" w:hAnsi="宋体" w:cs="Arial"/>
          <w:color w:val="auto"/>
          <w:sz w:val="21"/>
          <w:szCs w:val="21"/>
          <w:highlight w:val="none"/>
        </w:rPr>
        <w:t xml:space="preserve">   电话号码：</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p>
    <w:p>
      <w:pPr>
        <w:spacing w:before="120" w:beforeLines="50" w:after="120" w:afterLines="50" w:line="360" w:lineRule="auto"/>
        <w:rPr>
          <w:rFonts w:hAnsi="宋体" w:cs="Arial"/>
          <w:color w:val="auto"/>
          <w:sz w:val="21"/>
          <w:szCs w:val="21"/>
          <w:highlight w:val="none"/>
        </w:rPr>
      </w:pPr>
      <w:r>
        <w:rPr>
          <w:rFonts w:hAnsi="宋体" w:cs="Arial"/>
          <w:color w:val="auto"/>
          <w:sz w:val="21"/>
          <w:szCs w:val="21"/>
          <w:highlight w:val="none"/>
        </w:rPr>
        <w:t>2</w:t>
      </w:r>
      <w:r>
        <w:rPr>
          <w:rFonts w:hint="eastAsia" w:hAnsi="宋体" w:cs="Arial"/>
          <w:color w:val="auto"/>
          <w:sz w:val="21"/>
          <w:szCs w:val="21"/>
          <w:highlight w:val="none"/>
        </w:rPr>
        <w:t>、地</w:t>
      </w:r>
      <w:r>
        <w:rPr>
          <w:rFonts w:hAnsi="宋体" w:cs="Arial"/>
          <w:color w:val="auto"/>
          <w:sz w:val="21"/>
          <w:szCs w:val="21"/>
          <w:highlight w:val="none"/>
        </w:rPr>
        <w:t xml:space="preserve">    </w:t>
      </w:r>
      <w:r>
        <w:rPr>
          <w:rFonts w:hint="eastAsia" w:hAnsi="宋体" w:cs="Arial"/>
          <w:color w:val="auto"/>
          <w:sz w:val="21"/>
          <w:szCs w:val="21"/>
          <w:highlight w:val="none"/>
        </w:rPr>
        <w:t>址：</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r>
        <w:rPr>
          <w:rFonts w:hAnsi="宋体" w:cs="Arial"/>
          <w:color w:val="auto"/>
          <w:sz w:val="21"/>
          <w:szCs w:val="21"/>
          <w:highlight w:val="none"/>
        </w:rPr>
        <w:t xml:space="preserve">  </w:t>
      </w:r>
      <w:r>
        <w:rPr>
          <w:rFonts w:hint="eastAsia" w:hAnsi="宋体" w:cs="Arial"/>
          <w:color w:val="auto"/>
          <w:sz w:val="21"/>
          <w:szCs w:val="21"/>
          <w:highlight w:val="none"/>
        </w:rPr>
        <w:t xml:space="preserve">   传</w:t>
      </w:r>
      <w:r>
        <w:rPr>
          <w:rFonts w:hAnsi="宋体" w:cs="Arial"/>
          <w:color w:val="auto"/>
          <w:sz w:val="21"/>
          <w:szCs w:val="21"/>
          <w:highlight w:val="none"/>
        </w:rPr>
        <w:t xml:space="preserve">    </w:t>
      </w:r>
      <w:r>
        <w:rPr>
          <w:rFonts w:hint="eastAsia" w:hAnsi="宋体" w:cs="Arial"/>
          <w:color w:val="auto"/>
          <w:sz w:val="21"/>
          <w:szCs w:val="21"/>
          <w:highlight w:val="none"/>
        </w:rPr>
        <w:t>真：</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p>
    <w:p>
      <w:pPr>
        <w:spacing w:before="120" w:beforeLines="50" w:after="120" w:afterLines="50" w:line="360" w:lineRule="auto"/>
        <w:rPr>
          <w:rFonts w:hAnsi="宋体" w:cs="Arial"/>
          <w:color w:val="auto"/>
          <w:sz w:val="21"/>
          <w:szCs w:val="21"/>
          <w:highlight w:val="none"/>
          <w:u w:val="single"/>
        </w:rPr>
      </w:pPr>
      <w:r>
        <w:rPr>
          <w:rFonts w:hAnsi="宋体" w:cs="Arial"/>
          <w:color w:val="auto"/>
          <w:sz w:val="21"/>
          <w:szCs w:val="21"/>
          <w:highlight w:val="none"/>
        </w:rPr>
        <w:t>3</w:t>
      </w:r>
      <w:r>
        <w:rPr>
          <w:rFonts w:hint="eastAsia" w:hAnsi="宋体" w:cs="Arial"/>
          <w:color w:val="auto"/>
          <w:sz w:val="21"/>
          <w:szCs w:val="21"/>
          <w:highlight w:val="none"/>
        </w:rPr>
        <w:t>、注册资金：</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r>
        <w:rPr>
          <w:rFonts w:hAnsi="宋体" w:cs="Arial"/>
          <w:color w:val="auto"/>
          <w:sz w:val="21"/>
          <w:szCs w:val="21"/>
          <w:highlight w:val="none"/>
        </w:rPr>
        <w:t xml:space="preserve">  </w:t>
      </w:r>
      <w:r>
        <w:rPr>
          <w:rFonts w:hint="eastAsia" w:hAnsi="宋体" w:cs="Arial"/>
          <w:color w:val="auto"/>
          <w:sz w:val="21"/>
          <w:szCs w:val="21"/>
          <w:highlight w:val="none"/>
        </w:rPr>
        <w:t xml:space="preserve">   企业类型：</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p>
    <w:p>
      <w:pPr>
        <w:spacing w:before="120" w:beforeLines="50" w:after="120" w:afterLines="50" w:line="360" w:lineRule="auto"/>
        <w:rPr>
          <w:rFonts w:hAnsi="宋体" w:cs="Arial"/>
          <w:color w:val="auto"/>
          <w:sz w:val="21"/>
          <w:szCs w:val="21"/>
          <w:highlight w:val="none"/>
        </w:rPr>
      </w:pPr>
      <w:r>
        <w:rPr>
          <w:rFonts w:hint="eastAsia" w:hAnsi="宋体" w:cs="Arial"/>
          <w:color w:val="auto"/>
          <w:sz w:val="21"/>
          <w:szCs w:val="21"/>
          <w:highlight w:val="none"/>
        </w:rPr>
        <w:t>4、开户名称：</w:t>
      </w:r>
      <w:r>
        <w:rPr>
          <w:rFonts w:hint="eastAsia" w:hAnsi="宋体" w:cs="Arial"/>
          <w:color w:val="auto"/>
          <w:sz w:val="21"/>
          <w:szCs w:val="21"/>
          <w:highlight w:val="none"/>
          <w:u w:val="single"/>
        </w:rPr>
        <w:t xml:space="preserve">                     </w:t>
      </w:r>
    </w:p>
    <w:p>
      <w:pPr>
        <w:spacing w:before="120" w:beforeLines="50" w:after="120" w:afterLines="50" w:line="360" w:lineRule="auto"/>
        <w:ind w:left="361" w:leftChars="119" w:hanging="75" w:hangingChars="36"/>
        <w:rPr>
          <w:rFonts w:hAnsi="宋体" w:cs="Arial"/>
          <w:color w:val="auto"/>
          <w:sz w:val="21"/>
          <w:szCs w:val="21"/>
          <w:highlight w:val="none"/>
        </w:rPr>
      </w:pPr>
      <w:r>
        <w:rPr>
          <w:rFonts w:hint="eastAsia" w:hAnsi="宋体" w:cs="Arial"/>
          <w:color w:val="auto"/>
          <w:sz w:val="21"/>
          <w:szCs w:val="21"/>
          <w:highlight w:val="none"/>
        </w:rPr>
        <w:t>开户银行：</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r>
        <w:rPr>
          <w:rFonts w:hAnsi="宋体" w:cs="Arial"/>
          <w:color w:val="auto"/>
          <w:sz w:val="21"/>
          <w:szCs w:val="21"/>
          <w:highlight w:val="none"/>
          <w:u w:val="single"/>
        </w:rPr>
        <w:t xml:space="preserve"> </w:t>
      </w:r>
    </w:p>
    <w:p>
      <w:pPr>
        <w:spacing w:before="120" w:beforeLines="50" w:after="120" w:afterLines="50" w:line="360" w:lineRule="auto"/>
        <w:ind w:left="361" w:leftChars="119" w:hanging="75" w:hangingChars="36"/>
        <w:rPr>
          <w:rFonts w:hint="eastAsia" w:hAnsi="宋体" w:cs="Arial"/>
          <w:color w:val="auto"/>
          <w:sz w:val="21"/>
          <w:szCs w:val="21"/>
          <w:highlight w:val="none"/>
        </w:rPr>
      </w:pPr>
      <w:r>
        <w:rPr>
          <w:rFonts w:hint="eastAsia" w:hAnsi="宋体" w:cs="Arial"/>
          <w:color w:val="auto"/>
          <w:sz w:val="21"/>
          <w:szCs w:val="21"/>
          <w:highlight w:val="none"/>
        </w:rPr>
        <w:t>银行账号：</w:t>
      </w:r>
      <w:r>
        <w:rPr>
          <w:rFonts w:hAnsi="宋体" w:cs="Arial"/>
          <w:color w:val="auto"/>
          <w:sz w:val="21"/>
          <w:szCs w:val="21"/>
          <w:highlight w:val="none"/>
          <w:u w:val="single"/>
        </w:rPr>
        <w:t xml:space="preserve">                  </w:t>
      </w:r>
      <w:r>
        <w:rPr>
          <w:rFonts w:hint="eastAsia" w:hAnsi="宋体" w:cs="Arial"/>
          <w:color w:val="auto"/>
          <w:sz w:val="21"/>
          <w:szCs w:val="21"/>
          <w:highlight w:val="none"/>
          <w:u w:val="single"/>
        </w:rPr>
        <w:t xml:space="preserve">   </w:t>
      </w:r>
    </w:p>
    <w:p>
      <w:pPr>
        <w:spacing w:before="120" w:beforeLines="50" w:after="120" w:afterLines="50" w:line="360" w:lineRule="auto"/>
        <w:rPr>
          <w:rFonts w:hint="eastAsia" w:hAnsi="宋体" w:cs="Arial"/>
          <w:color w:val="auto"/>
          <w:sz w:val="21"/>
          <w:szCs w:val="21"/>
          <w:highlight w:val="none"/>
        </w:rPr>
      </w:pPr>
      <w:r>
        <w:rPr>
          <w:rFonts w:hint="eastAsia" w:hAnsi="宋体" w:cs="Arial"/>
          <w:color w:val="auto"/>
          <w:sz w:val="21"/>
          <w:szCs w:val="21"/>
          <w:highlight w:val="none"/>
        </w:rPr>
        <w:t>5、公司简介</w:t>
      </w:r>
    </w:p>
    <w:p>
      <w:pPr>
        <w:spacing w:before="120" w:beforeLines="50" w:after="120" w:afterLines="50" w:line="360" w:lineRule="auto"/>
        <w:ind w:left="360" w:leftChars="150"/>
        <w:rPr>
          <w:rFonts w:hint="eastAsia" w:hAnsi="宋体" w:cs="Arial"/>
          <w:color w:val="auto"/>
          <w:sz w:val="21"/>
          <w:szCs w:val="21"/>
          <w:highlight w:val="none"/>
        </w:rPr>
      </w:pPr>
      <w:r>
        <w:rPr>
          <w:rFonts w:hint="eastAsia" w:hAnsi="宋体" w:cs="Arial"/>
          <w:color w:val="auto"/>
          <w:sz w:val="21"/>
          <w:szCs w:val="21"/>
          <w:highlight w:val="none"/>
        </w:rPr>
        <w:t>（自行描述）</w:t>
      </w:r>
    </w:p>
    <w:p>
      <w:pPr>
        <w:spacing w:before="120" w:beforeLines="50" w:after="120" w:afterLines="50" w:line="360" w:lineRule="auto"/>
        <w:rPr>
          <w:rFonts w:hint="eastAsia" w:hAnsi="宋体" w:cs="Arial"/>
          <w:color w:val="auto"/>
          <w:sz w:val="21"/>
          <w:szCs w:val="21"/>
          <w:highlight w:val="none"/>
        </w:rPr>
      </w:pPr>
      <w:r>
        <w:rPr>
          <w:rFonts w:hint="eastAsia" w:hAnsi="宋体" w:cs="Arial"/>
          <w:color w:val="auto"/>
          <w:sz w:val="21"/>
          <w:szCs w:val="21"/>
          <w:highlight w:val="none"/>
        </w:rPr>
        <w:t>6、投标人获得的资质证书、认证证书、获奖证书、荣誉证书等</w:t>
      </w:r>
    </w:p>
    <w:p>
      <w:pPr>
        <w:spacing w:before="120" w:beforeLines="50" w:after="120" w:afterLines="50" w:line="360" w:lineRule="auto"/>
        <w:rPr>
          <w:rFonts w:hint="eastAsia" w:hAnsi="宋体" w:cs="Arial"/>
          <w:color w:val="auto"/>
          <w:sz w:val="21"/>
          <w:szCs w:val="21"/>
          <w:highlight w:val="none"/>
        </w:rPr>
      </w:pPr>
      <w:r>
        <w:rPr>
          <w:rFonts w:hAnsi="宋体" w:cs="Arial"/>
          <w:color w:val="auto"/>
          <w:sz w:val="21"/>
          <w:szCs w:val="21"/>
          <w:highlight w:val="none"/>
        </w:rPr>
        <w:t xml:space="preserve">                    </w:t>
      </w:r>
    </w:p>
    <w:p>
      <w:pPr>
        <w:spacing w:before="120" w:beforeLines="50" w:after="120" w:afterLines="50" w:line="360" w:lineRule="auto"/>
        <w:ind w:firstLine="570"/>
        <w:rPr>
          <w:rFonts w:hAnsi="宋体" w:cs="Arial"/>
          <w:color w:val="auto"/>
          <w:sz w:val="21"/>
          <w:szCs w:val="21"/>
          <w:highlight w:val="none"/>
        </w:rPr>
      </w:pPr>
      <w:r>
        <w:rPr>
          <w:rFonts w:hint="eastAsia" w:hAnsi="宋体" w:cs="Arial"/>
          <w:color w:val="auto"/>
          <w:sz w:val="21"/>
          <w:szCs w:val="21"/>
          <w:highlight w:val="none"/>
        </w:rPr>
        <w:t>我</w:t>
      </w:r>
      <w:r>
        <w:rPr>
          <w:rFonts w:hAnsi="宋体" w:cs="Arial"/>
          <w:color w:val="auto"/>
          <w:sz w:val="21"/>
          <w:szCs w:val="21"/>
          <w:highlight w:val="none"/>
        </w:rPr>
        <w:t>/</w:t>
      </w:r>
      <w:r>
        <w:rPr>
          <w:rFonts w:hint="eastAsia" w:hAnsi="宋体" w:cs="Arial"/>
          <w:color w:val="auto"/>
          <w:sz w:val="21"/>
          <w:szCs w:val="21"/>
          <w:highlight w:val="none"/>
        </w:rPr>
        <w:t>我们声明以上所述是正确无误的，您有权进行您认为必要的所有调查。</w:t>
      </w: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 xml:space="preserve"> </w:t>
      </w:r>
    </w:p>
    <w:p>
      <w:pPr>
        <w:pStyle w:val="4"/>
        <w:pageBreakBefore/>
        <w:numPr>
          <w:ilvl w:val="1"/>
          <w:numId w:val="28"/>
        </w:numPr>
        <w:spacing w:line="360" w:lineRule="auto"/>
        <w:ind w:left="0" w:firstLine="0"/>
        <w:jc w:val="center"/>
        <w:rPr>
          <w:rFonts w:hint="eastAsia"/>
          <w:b/>
          <w:color w:val="auto"/>
          <w:highlight w:val="none"/>
        </w:rPr>
      </w:pPr>
      <w:bookmarkStart w:id="201" w:name="_Toc1953"/>
      <w:bookmarkStart w:id="202" w:name="_Toc24808"/>
      <w:bookmarkStart w:id="203" w:name="_Toc27401"/>
      <w:bookmarkStart w:id="204" w:name="_Toc1231"/>
      <w:bookmarkStart w:id="205" w:name="_Toc19549"/>
      <w:bookmarkStart w:id="206" w:name="_Toc27459"/>
      <w:bookmarkStart w:id="207" w:name="_Toc367438814"/>
      <w:bookmarkStart w:id="208" w:name="_Toc2895"/>
      <w:bookmarkStart w:id="209" w:name="_Toc2124"/>
      <w:bookmarkStart w:id="210" w:name="_Toc32682"/>
      <w:bookmarkStart w:id="211" w:name="_Toc26475"/>
      <w:bookmarkStart w:id="212" w:name="_Toc21778"/>
      <w:bookmarkStart w:id="213" w:name="_Toc25826"/>
      <w:bookmarkStart w:id="214" w:name="_Toc396137255"/>
      <w:r>
        <w:rPr>
          <w:rFonts w:hint="eastAsia"/>
          <w:b/>
          <w:color w:val="auto"/>
          <w:highlight w:val="none"/>
        </w:rPr>
        <w:t>投标人业绩情况表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rPr>
          <w:rFonts w:hint="eastAsia"/>
          <w:color w:val="auto"/>
          <w:highlight w:val="none"/>
        </w:rPr>
      </w:pP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391"/>
        <w:gridCol w:w="1304"/>
        <w:gridCol w:w="1304"/>
        <w:gridCol w:w="1304"/>
        <w:gridCol w:w="871"/>
        <w:gridCol w:w="1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648" w:type="dxa"/>
            <w:noWrap w:val="0"/>
            <w:vAlign w:val="center"/>
          </w:tcPr>
          <w:p>
            <w:pPr>
              <w:ind w:left="-204" w:leftChars="-85"/>
              <w:jc w:val="center"/>
              <w:rPr>
                <w:rFonts w:hint="eastAsia" w:hAnsi="宋体"/>
                <w:b/>
                <w:color w:val="auto"/>
                <w:sz w:val="22"/>
                <w:szCs w:val="22"/>
                <w:highlight w:val="none"/>
              </w:rPr>
            </w:pPr>
            <w:r>
              <w:rPr>
                <w:rFonts w:hint="eastAsia" w:hAnsi="宋体"/>
                <w:b/>
                <w:color w:val="auto"/>
                <w:sz w:val="22"/>
                <w:szCs w:val="22"/>
                <w:highlight w:val="none"/>
              </w:rPr>
              <w:t xml:space="preserve"> 序号</w:t>
            </w:r>
          </w:p>
        </w:tc>
        <w:tc>
          <w:tcPr>
            <w:tcW w:w="2391" w:type="dxa"/>
            <w:noWrap w:val="0"/>
            <w:vAlign w:val="center"/>
          </w:tcPr>
          <w:p>
            <w:pPr>
              <w:jc w:val="center"/>
              <w:rPr>
                <w:rFonts w:hint="eastAsia" w:hAnsi="宋体"/>
                <w:b/>
                <w:color w:val="auto"/>
                <w:sz w:val="22"/>
                <w:szCs w:val="22"/>
                <w:highlight w:val="none"/>
              </w:rPr>
            </w:pPr>
            <w:r>
              <w:rPr>
                <w:rFonts w:hint="eastAsia" w:hAnsi="宋体"/>
                <w:b/>
                <w:color w:val="auto"/>
                <w:sz w:val="22"/>
                <w:szCs w:val="22"/>
                <w:highlight w:val="none"/>
              </w:rPr>
              <w:t>项目名称</w:t>
            </w:r>
          </w:p>
        </w:tc>
        <w:tc>
          <w:tcPr>
            <w:tcW w:w="1304" w:type="dxa"/>
            <w:noWrap w:val="0"/>
            <w:vAlign w:val="center"/>
          </w:tcPr>
          <w:p>
            <w:pPr>
              <w:jc w:val="center"/>
              <w:rPr>
                <w:rFonts w:hint="eastAsia" w:hAnsi="宋体"/>
                <w:b/>
                <w:color w:val="auto"/>
                <w:sz w:val="22"/>
                <w:szCs w:val="22"/>
                <w:highlight w:val="none"/>
              </w:rPr>
            </w:pPr>
            <w:r>
              <w:rPr>
                <w:rFonts w:hint="eastAsia" w:hAnsi="宋体"/>
                <w:b/>
                <w:color w:val="auto"/>
                <w:sz w:val="22"/>
                <w:szCs w:val="22"/>
                <w:highlight w:val="none"/>
              </w:rPr>
              <w:t>合同金额</w:t>
            </w:r>
          </w:p>
        </w:tc>
        <w:tc>
          <w:tcPr>
            <w:tcW w:w="1304" w:type="dxa"/>
            <w:noWrap w:val="0"/>
            <w:vAlign w:val="center"/>
          </w:tcPr>
          <w:p>
            <w:pPr>
              <w:jc w:val="center"/>
              <w:rPr>
                <w:rFonts w:hint="eastAsia" w:hAnsi="宋体"/>
                <w:b/>
                <w:color w:val="auto"/>
                <w:sz w:val="22"/>
                <w:szCs w:val="22"/>
                <w:highlight w:val="none"/>
              </w:rPr>
            </w:pPr>
            <w:r>
              <w:rPr>
                <w:rFonts w:hint="eastAsia" w:hAnsi="宋体"/>
                <w:b/>
                <w:color w:val="auto"/>
                <w:sz w:val="22"/>
                <w:szCs w:val="22"/>
                <w:highlight w:val="none"/>
              </w:rPr>
              <w:t>签约时间</w:t>
            </w:r>
          </w:p>
        </w:tc>
        <w:tc>
          <w:tcPr>
            <w:tcW w:w="1304" w:type="dxa"/>
            <w:noWrap w:val="0"/>
            <w:vAlign w:val="center"/>
          </w:tcPr>
          <w:p>
            <w:pPr>
              <w:jc w:val="center"/>
              <w:rPr>
                <w:rFonts w:hint="eastAsia" w:hAnsi="宋体"/>
                <w:b/>
                <w:bCs/>
                <w:color w:val="auto"/>
                <w:sz w:val="22"/>
                <w:szCs w:val="22"/>
                <w:highlight w:val="none"/>
              </w:rPr>
            </w:pPr>
            <w:r>
              <w:rPr>
                <w:rFonts w:hint="eastAsia" w:hAnsi="宋体"/>
                <w:b/>
                <w:bCs/>
                <w:color w:val="auto"/>
                <w:sz w:val="22"/>
                <w:szCs w:val="22"/>
                <w:highlight w:val="none"/>
              </w:rPr>
              <w:t>联系人、</w:t>
            </w:r>
          </w:p>
          <w:p>
            <w:pPr>
              <w:jc w:val="center"/>
              <w:rPr>
                <w:rFonts w:hint="eastAsia" w:hAnsi="宋体"/>
                <w:b/>
                <w:color w:val="auto"/>
                <w:sz w:val="22"/>
                <w:szCs w:val="22"/>
                <w:highlight w:val="none"/>
              </w:rPr>
            </w:pPr>
            <w:r>
              <w:rPr>
                <w:rFonts w:hint="eastAsia" w:hAnsi="宋体"/>
                <w:b/>
                <w:bCs/>
                <w:color w:val="auto"/>
                <w:sz w:val="22"/>
                <w:szCs w:val="22"/>
                <w:highlight w:val="none"/>
              </w:rPr>
              <w:t>联系方式</w:t>
            </w:r>
          </w:p>
        </w:tc>
        <w:tc>
          <w:tcPr>
            <w:tcW w:w="871" w:type="dxa"/>
            <w:noWrap w:val="0"/>
            <w:vAlign w:val="center"/>
          </w:tcPr>
          <w:p>
            <w:pPr>
              <w:jc w:val="center"/>
              <w:rPr>
                <w:rFonts w:hint="eastAsia" w:hAnsi="宋体"/>
                <w:b/>
                <w:color w:val="auto"/>
                <w:sz w:val="22"/>
                <w:szCs w:val="22"/>
                <w:highlight w:val="none"/>
              </w:rPr>
            </w:pPr>
            <w:r>
              <w:rPr>
                <w:rFonts w:hint="eastAsia" w:hAnsi="宋体"/>
                <w:b/>
                <w:bCs/>
                <w:color w:val="auto"/>
                <w:sz w:val="22"/>
                <w:szCs w:val="22"/>
                <w:highlight w:val="none"/>
              </w:rPr>
              <w:t>完成情况</w:t>
            </w:r>
          </w:p>
        </w:tc>
        <w:tc>
          <w:tcPr>
            <w:tcW w:w="1104" w:type="dxa"/>
            <w:noWrap w:val="0"/>
            <w:vAlign w:val="center"/>
          </w:tcPr>
          <w:p>
            <w:pPr>
              <w:jc w:val="center"/>
              <w:rPr>
                <w:rFonts w:hint="eastAsia" w:hAnsi="宋体"/>
                <w:b/>
                <w:color w:val="auto"/>
                <w:sz w:val="22"/>
                <w:szCs w:val="22"/>
                <w:highlight w:val="none"/>
              </w:rPr>
            </w:pPr>
            <w:r>
              <w:rPr>
                <w:rFonts w:hint="eastAsia" w:hAnsi="宋体"/>
                <w:b/>
                <w:bCs/>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48" w:type="dxa"/>
            <w:noWrap w:val="0"/>
            <w:vAlign w:val="center"/>
          </w:tcPr>
          <w:p>
            <w:pPr>
              <w:jc w:val="center"/>
              <w:rPr>
                <w:rFonts w:hint="eastAsia" w:hAnsi="宋体"/>
                <w:b/>
                <w:color w:val="auto"/>
                <w:sz w:val="22"/>
                <w:szCs w:val="22"/>
                <w:highlight w:val="none"/>
              </w:rPr>
            </w:pPr>
          </w:p>
        </w:tc>
        <w:tc>
          <w:tcPr>
            <w:tcW w:w="2391"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1304" w:type="dxa"/>
            <w:noWrap w:val="0"/>
            <w:vAlign w:val="center"/>
          </w:tcPr>
          <w:p>
            <w:pPr>
              <w:rPr>
                <w:rFonts w:hint="eastAsia" w:hAnsi="宋体"/>
                <w:b/>
                <w:color w:val="auto"/>
                <w:sz w:val="22"/>
                <w:szCs w:val="22"/>
                <w:highlight w:val="none"/>
              </w:rPr>
            </w:pPr>
          </w:p>
        </w:tc>
        <w:tc>
          <w:tcPr>
            <w:tcW w:w="871" w:type="dxa"/>
            <w:noWrap w:val="0"/>
            <w:vAlign w:val="center"/>
          </w:tcPr>
          <w:p>
            <w:pPr>
              <w:rPr>
                <w:rFonts w:hint="eastAsia" w:hAnsi="宋体"/>
                <w:b/>
                <w:color w:val="auto"/>
                <w:sz w:val="22"/>
                <w:szCs w:val="22"/>
                <w:highlight w:val="none"/>
              </w:rPr>
            </w:pPr>
          </w:p>
        </w:tc>
        <w:tc>
          <w:tcPr>
            <w:tcW w:w="1104" w:type="dxa"/>
            <w:noWrap w:val="0"/>
            <w:vAlign w:val="center"/>
          </w:tcPr>
          <w:p>
            <w:pPr>
              <w:rPr>
                <w:rFonts w:hint="eastAsia" w:hAnsi="宋体"/>
                <w:b/>
                <w:color w:val="auto"/>
                <w:sz w:val="22"/>
                <w:szCs w:val="22"/>
                <w:highlight w:val="none"/>
              </w:rPr>
            </w:pPr>
          </w:p>
        </w:tc>
      </w:tr>
    </w:tbl>
    <w:p>
      <w:pPr>
        <w:spacing w:before="120" w:line="360" w:lineRule="auto"/>
        <w:ind w:left="510" w:hanging="510"/>
        <w:rPr>
          <w:rFonts w:hint="eastAsia" w:hAnsi="宋体" w:cs="宋体"/>
          <w:color w:val="auto"/>
          <w:sz w:val="21"/>
          <w:szCs w:val="21"/>
          <w:highlight w:val="none"/>
        </w:rPr>
      </w:pPr>
      <w:r>
        <w:rPr>
          <w:rFonts w:hint="eastAsia" w:hAnsi="宋体"/>
          <w:color w:val="auto"/>
          <w:sz w:val="21"/>
          <w:szCs w:val="21"/>
          <w:highlight w:val="none"/>
        </w:rPr>
        <w:t>注：</w:t>
      </w:r>
      <w:r>
        <w:rPr>
          <w:rFonts w:hint="eastAsia" w:hAnsi="宋体" w:cs="宋体"/>
          <w:color w:val="auto"/>
          <w:sz w:val="21"/>
          <w:szCs w:val="21"/>
          <w:highlight w:val="none"/>
        </w:rPr>
        <w:t>根据评分标准要求提供相应材料（如有）。</w:t>
      </w:r>
    </w:p>
    <w:p>
      <w:pPr>
        <w:autoSpaceDE/>
        <w:autoSpaceDN/>
        <w:adjustRightInd/>
        <w:spacing w:line="380" w:lineRule="exact"/>
        <w:jc w:val="both"/>
        <w:rPr>
          <w:rFonts w:hint="eastAsia" w:hAnsi="宋体"/>
          <w:color w:val="auto"/>
          <w:sz w:val="21"/>
          <w:szCs w:val="21"/>
          <w:highlight w:val="none"/>
        </w:rPr>
      </w:pPr>
    </w:p>
    <w:p>
      <w:pPr>
        <w:spacing w:before="120" w:line="360" w:lineRule="auto"/>
        <w:ind w:left="510" w:hanging="510"/>
        <w:rPr>
          <w:rFonts w:hint="eastAsia" w:hAnsi="宋体"/>
          <w:color w:val="auto"/>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 xml:space="preserve"> </w:t>
      </w:r>
    </w:p>
    <w:p>
      <w:pPr>
        <w:spacing w:line="360" w:lineRule="auto"/>
        <w:jc w:val="center"/>
        <w:rPr>
          <w:rFonts w:hint="eastAsia" w:hAnsi="宋体"/>
          <w:b/>
          <w:color w:val="auto"/>
          <w:sz w:val="28"/>
          <w:highlight w:val="none"/>
        </w:rPr>
      </w:pPr>
    </w:p>
    <w:p>
      <w:pPr>
        <w:pStyle w:val="4"/>
        <w:pageBreakBefore/>
        <w:numPr>
          <w:ilvl w:val="1"/>
          <w:numId w:val="28"/>
        </w:numPr>
        <w:spacing w:line="360" w:lineRule="auto"/>
        <w:ind w:left="0" w:leftChars="-59" w:hanging="142" w:hangingChars="59"/>
        <w:jc w:val="center"/>
        <w:rPr>
          <w:rFonts w:hint="eastAsia"/>
          <w:b/>
          <w:color w:val="auto"/>
          <w:highlight w:val="none"/>
        </w:rPr>
      </w:pPr>
      <w:bookmarkStart w:id="215" w:name="_Toc10167"/>
      <w:bookmarkStart w:id="216" w:name="_Toc28467"/>
      <w:bookmarkStart w:id="217" w:name="_Toc23763"/>
      <w:bookmarkStart w:id="218" w:name="_Toc2212"/>
      <w:bookmarkStart w:id="219" w:name="_Toc580"/>
      <w:bookmarkStart w:id="220" w:name="_Toc12195"/>
      <w:bookmarkStart w:id="221" w:name="_Toc11667"/>
      <w:bookmarkStart w:id="222" w:name="_Toc4333"/>
      <w:bookmarkStart w:id="223" w:name="_Toc8394"/>
      <w:bookmarkStart w:id="224" w:name="_Toc3590"/>
      <w:bookmarkStart w:id="225" w:name="_Toc20463"/>
      <w:bookmarkStart w:id="226" w:name="_Toc28753"/>
      <w:r>
        <w:rPr>
          <w:rFonts w:hint="eastAsia"/>
          <w:b/>
          <w:color w:val="auto"/>
          <w:highlight w:val="none"/>
        </w:rPr>
        <w:t>投标人财务状况表</w:t>
      </w:r>
      <w:bookmarkEnd w:id="215"/>
      <w:bookmarkEnd w:id="216"/>
      <w:bookmarkEnd w:id="217"/>
      <w:bookmarkEnd w:id="218"/>
      <w:bookmarkEnd w:id="219"/>
      <w:bookmarkEnd w:id="220"/>
      <w:bookmarkEnd w:id="221"/>
      <w:bookmarkEnd w:id="222"/>
      <w:bookmarkEnd w:id="223"/>
      <w:bookmarkEnd w:id="224"/>
      <w:bookmarkEnd w:id="225"/>
      <w:bookmarkEnd w:id="226"/>
    </w:p>
    <w:p>
      <w:pPr>
        <w:spacing w:line="360" w:lineRule="auto"/>
        <w:jc w:val="center"/>
        <w:rPr>
          <w:rFonts w:hint="eastAsia" w:hAnsi="宋体"/>
          <w:color w:val="auto"/>
          <w:sz w:val="21"/>
          <w:szCs w:val="21"/>
          <w:highlight w:val="none"/>
        </w:rPr>
      </w:pPr>
      <w:r>
        <w:rPr>
          <w:rFonts w:hint="eastAsia" w:hAnsi="宋体"/>
          <w:b/>
          <w:color w:val="auto"/>
          <w:szCs w:val="21"/>
          <w:highlight w:val="none"/>
        </w:rPr>
        <w:t xml:space="preserve">                                                </w:t>
      </w:r>
      <w:r>
        <w:rPr>
          <w:rFonts w:hint="eastAsia" w:hAnsi="宋体"/>
          <w:b/>
          <w:color w:val="auto"/>
          <w:sz w:val="21"/>
          <w:szCs w:val="21"/>
          <w:highlight w:val="none"/>
        </w:rPr>
        <w:t xml:space="preserve">  </w:t>
      </w:r>
      <w:r>
        <w:rPr>
          <w:rFonts w:hint="eastAsia" w:hAnsi="宋体"/>
          <w:color w:val="auto"/>
          <w:sz w:val="21"/>
          <w:szCs w:val="21"/>
          <w:highlight w:val="none"/>
        </w:rPr>
        <w:t>【价格单位：（人民币）万元】</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2228"/>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年  度</w:t>
            </w:r>
          </w:p>
        </w:tc>
        <w:tc>
          <w:tcPr>
            <w:tcW w:w="1800"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总资产（万元）</w:t>
            </w:r>
          </w:p>
        </w:tc>
        <w:tc>
          <w:tcPr>
            <w:tcW w:w="1800"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净资产（万元）</w:t>
            </w:r>
          </w:p>
        </w:tc>
        <w:tc>
          <w:tcPr>
            <w:tcW w:w="2228"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年营业额（万元）</w:t>
            </w:r>
          </w:p>
        </w:tc>
        <w:tc>
          <w:tcPr>
            <w:tcW w:w="1843"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年净利润（万元）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2228" w:type="dxa"/>
            <w:noWrap w:val="0"/>
            <w:vAlign w:val="top"/>
          </w:tcPr>
          <w:p>
            <w:pPr>
              <w:spacing w:line="360" w:lineRule="auto"/>
              <w:jc w:val="center"/>
              <w:rPr>
                <w:rFonts w:hint="eastAsia" w:hAnsi="宋体"/>
                <w:color w:val="auto"/>
                <w:sz w:val="21"/>
                <w:szCs w:val="21"/>
                <w:highlight w:val="none"/>
              </w:rPr>
            </w:pPr>
          </w:p>
        </w:tc>
        <w:tc>
          <w:tcPr>
            <w:tcW w:w="1843" w:type="dxa"/>
            <w:noWrap w:val="0"/>
            <w:vAlign w:val="center"/>
          </w:tcPr>
          <w:p>
            <w:pPr>
              <w:spacing w:line="360" w:lineRule="auto"/>
              <w:jc w:val="center"/>
              <w:rPr>
                <w:rFonts w:hint="eastAsia"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2228" w:type="dxa"/>
            <w:noWrap w:val="0"/>
            <w:vAlign w:val="top"/>
          </w:tcPr>
          <w:p>
            <w:pPr>
              <w:spacing w:line="360" w:lineRule="auto"/>
              <w:jc w:val="center"/>
              <w:rPr>
                <w:rFonts w:hint="eastAsia" w:hAnsi="宋体"/>
                <w:color w:val="auto"/>
                <w:sz w:val="21"/>
                <w:szCs w:val="21"/>
                <w:highlight w:val="none"/>
              </w:rPr>
            </w:pPr>
          </w:p>
        </w:tc>
        <w:tc>
          <w:tcPr>
            <w:tcW w:w="1843" w:type="dxa"/>
            <w:noWrap w:val="0"/>
            <w:vAlign w:val="center"/>
          </w:tcPr>
          <w:p>
            <w:pPr>
              <w:spacing w:line="360" w:lineRule="auto"/>
              <w:jc w:val="center"/>
              <w:rPr>
                <w:rFonts w:hint="eastAsia"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1800" w:type="dxa"/>
            <w:noWrap w:val="0"/>
            <w:vAlign w:val="center"/>
          </w:tcPr>
          <w:p>
            <w:pPr>
              <w:spacing w:line="360" w:lineRule="auto"/>
              <w:jc w:val="center"/>
              <w:rPr>
                <w:rFonts w:hint="eastAsia" w:hAnsi="宋体"/>
                <w:color w:val="auto"/>
                <w:sz w:val="21"/>
                <w:szCs w:val="21"/>
                <w:highlight w:val="none"/>
              </w:rPr>
            </w:pPr>
          </w:p>
        </w:tc>
        <w:tc>
          <w:tcPr>
            <w:tcW w:w="2228" w:type="dxa"/>
            <w:noWrap w:val="0"/>
            <w:vAlign w:val="top"/>
          </w:tcPr>
          <w:p>
            <w:pPr>
              <w:spacing w:line="360" w:lineRule="auto"/>
              <w:jc w:val="center"/>
              <w:rPr>
                <w:rFonts w:hint="eastAsia" w:hAnsi="宋体"/>
                <w:color w:val="auto"/>
                <w:sz w:val="21"/>
                <w:szCs w:val="21"/>
                <w:highlight w:val="none"/>
              </w:rPr>
            </w:pPr>
          </w:p>
        </w:tc>
        <w:tc>
          <w:tcPr>
            <w:tcW w:w="1843" w:type="dxa"/>
            <w:noWrap w:val="0"/>
            <w:vAlign w:val="center"/>
          </w:tcPr>
          <w:p>
            <w:pPr>
              <w:spacing w:line="360" w:lineRule="auto"/>
              <w:jc w:val="center"/>
              <w:rPr>
                <w:rFonts w:hint="eastAsia"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总计</w:t>
            </w:r>
          </w:p>
        </w:tc>
        <w:tc>
          <w:tcPr>
            <w:tcW w:w="2228" w:type="dxa"/>
            <w:noWrap w:val="0"/>
            <w:vAlign w:val="top"/>
          </w:tcPr>
          <w:p>
            <w:pPr>
              <w:spacing w:line="360" w:lineRule="auto"/>
              <w:jc w:val="center"/>
              <w:rPr>
                <w:rFonts w:hint="eastAsia" w:hAnsi="宋体"/>
                <w:color w:val="auto"/>
                <w:sz w:val="21"/>
                <w:szCs w:val="21"/>
                <w:highlight w:val="none"/>
              </w:rPr>
            </w:pPr>
          </w:p>
        </w:tc>
        <w:tc>
          <w:tcPr>
            <w:tcW w:w="1843" w:type="dxa"/>
            <w:noWrap w:val="0"/>
            <w:vAlign w:val="center"/>
          </w:tcPr>
          <w:p>
            <w:pPr>
              <w:spacing w:line="360" w:lineRule="auto"/>
              <w:jc w:val="center"/>
              <w:rPr>
                <w:rFonts w:hint="eastAsia" w:hAnsi="宋体"/>
                <w:color w:val="auto"/>
                <w:sz w:val="21"/>
                <w:szCs w:val="21"/>
                <w:highlight w:val="none"/>
              </w:rPr>
            </w:pPr>
          </w:p>
        </w:tc>
      </w:tr>
    </w:tbl>
    <w:p>
      <w:pPr>
        <w:pStyle w:val="82"/>
        <w:spacing w:line="360" w:lineRule="auto"/>
        <w:ind w:firstLine="433"/>
        <w:rPr>
          <w:rFonts w:hint="eastAsia" w:ascii="宋体" w:eastAsia="宋体"/>
          <w:color w:val="auto"/>
          <w:sz w:val="21"/>
          <w:szCs w:val="21"/>
          <w:highlight w:val="none"/>
        </w:rPr>
      </w:pPr>
    </w:p>
    <w:p>
      <w:pPr>
        <w:pStyle w:val="82"/>
        <w:spacing w:line="360" w:lineRule="auto"/>
        <w:ind w:left="749" w:leftChars="181" w:hanging="315" w:hangingChars="150"/>
        <w:rPr>
          <w:rFonts w:hint="eastAsia" w:ascii="宋体" w:eastAsia="宋体"/>
          <w:color w:val="auto"/>
          <w:kern w:val="0"/>
          <w:sz w:val="21"/>
          <w:szCs w:val="21"/>
          <w:highlight w:val="none"/>
        </w:rPr>
      </w:pPr>
      <w:r>
        <w:rPr>
          <w:rFonts w:hint="eastAsia" w:ascii="宋体" w:eastAsia="宋体"/>
          <w:color w:val="auto"/>
          <w:kern w:val="0"/>
          <w:sz w:val="21"/>
          <w:szCs w:val="21"/>
          <w:highlight w:val="none"/>
        </w:rPr>
        <w:t>注：</w:t>
      </w:r>
      <w:r>
        <w:rPr>
          <w:rFonts w:hint="eastAsia" w:ascii="宋体" w:eastAsia="宋体" w:cs="宋体"/>
          <w:color w:val="auto"/>
          <w:sz w:val="21"/>
          <w:szCs w:val="21"/>
          <w:highlight w:val="none"/>
        </w:rPr>
        <w:t>根据评分标准要求提供相应材料</w:t>
      </w:r>
      <w:r>
        <w:rPr>
          <w:rFonts w:hint="eastAsia" w:eastAsia="宋体" w:cs="宋体"/>
          <w:color w:val="auto"/>
          <w:sz w:val="21"/>
          <w:szCs w:val="21"/>
          <w:highlight w:val="none"/>
        </w:rPr>
        <w:t>（如有）</w:t>
      </w:r>
      <w:r>
        <w:rPr>
          <w:rFonts w:hint="eastAsia" w:ascii="宋体" w:eastAsia="宋体" w:cs="宋体"/>
          <w:color w:val="auto"/>
          <w:sz w:val="21"/>
          <w:szCs w:val="21"/>
          <w:highlight w:val="none"/>
        </w:rPr>
        <w:t>。</w:t>
      </w:r>
    </w:p>
    <w:p>
      <w:pPr>
        <w:spacing w:line="360" w:lineRule="auto"/>
        <w:rPr>
          <w:rFonts w:hint="eastAsia" w:hAnsi="宋体"/>
          <w:color w:val="auto"/>
          <w:sz w:val="21"/>
          <w:szCs w:val="21"/>
          <w:highlight w:val="none"/>
        </w:rPr>
      </w:pPr>
    </w:p>
    <w:p>
      <w:pPr>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pStyle w:val="4"/>
        <w:pageBreakBefore/>
        <w:numPr>
          <w:ilvl w:val="1"/>
          <w:numId w:val="28"/>
        </w:numPr>
        <w:spacing w:line="360" w:lineRule="auto"/>
        <w:ind w:left="0" w:firstLine="0"/>
        <w:jc w:val="center"/>
        <w:rPr>
          <w:rFonts w:hint="eastAsia"/>
          <w:b/>
          <w:color w:val="auto"/>
          <w:highlight w:val="none"/>
        </w:rPr>
      </w:pPr>
      <w:bookmarkStart w:id="227" w:name="_Toc15527"/>
      <w:bookmarkStart w:id="228" w:name="_Toc31259"/>
      <w:bookmarkStart w:id="229" w:name="_Toc26182"/>
      <w:bookmarkStart w:id="230" w:name="_Toc6314"/>
      <w:bookmarkStart w:id="231" w:name="_Toc10399"/>
      <w:bookmarkStart w:id="232" w:name="_Toc23492"/>
      <w:bookmarkStart w:id="233" w:name="_Toc3662"/>
      <w:bookmarkStart w:id="234" w:name="_Toc20113"/>
      <w:bookmarkStart w:id="235" w:name="_Toc27734"/>
      <w:bookmarkStart w:id="236" w:name="_Toc16048"/>
      <w:bookmarkStart w:id="237" w:name="_Toc3799"/>
      <w:bookmarkStart w:id="238" w:name="_Toc11379"/>
      <w:r>
        <w:rPr>
          <w:rFonts w:hint="eastAsia"/>
          <w:b/>
          <w:color w:val="auto"/>
          <w:highlight w:val="none"/>
        </w:rPr>
        <w:t>合同条款偏离表</w:t>
      </w:r>
      <w:bookmarkEnd w:id="227"/>
      <w:bookmarkEnd w:id="228"/>
      <w:bookmarkEnd w:id="229"/>
      <w:bookmarkEnd w:id="230"/>
      <w:bookmarkEnd w:id="231"/>
      <w:bookmarkEnd w:id="232"/>
      <w:bookmarkEnd w:id="233"/>
      <w:bookmarkEnd w:id="234"/>
      <w:bookmarkEnd w:id="235"/>
      <w:bookmarkEnd w:id="236"/>
      <w:bookmarkEnd w:id="237"/>
      <w:bookmarkEnd w:id="238"/>
    </w:p>
    <w:p>
      <w:pPr>
        <w:spacing w:line="360" w:lineRule="auto"/>
        <w:rPr>
          <w:rFonts w:hint="eastAsia" w:hAnsi="宋体"/>
          <w:color w:val="auto"/>
          <w:sz w:val="21"/>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420"/>
        <w:gridCol w:w="2520"/>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招标文件条目号</w:t>
            </w:r>
          </w:p>
        </w:tc>
        <w:tc>
          <w:tcPr>
            <w:tcW w:w="2420" w:type="dxa"/>
            <w:noWrap w:val="0"/>
            <w:vAlign w:val="top"/>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招标文件合同条款</w:t>
            </w:r>
          </w:p>
        </w:tc>
        <w:tc>
          <w:tcPr>
            <w:tcW w:w="2520" w:type="dxa"/>
            <w:noWrap w:val="0"/>
            <w:vAlign w:val="top"/>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投标文件合同条款</w:t>
            </w:r>
          </w:p>
        </w:tc>
        <w:tc>
          <w:tcPr>
            <w:tcW w:w="1195"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偏离情况</w:t>
            </w:r>
          </w:p>
        </w:tc>
        <w:tc>
          <w:tcPr>
            <w:tcW w:w="1195" w:type="dxa"/>
            <w:noWrap w:val="0"/>
            <w:vAlign w:val="top"/>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Ansi="宋体"/>
                <w:color w:val="auto"/>
                <w:sz w:val="21"/>
                <w:szCs w:val="21"/>
                <w:highlight w:val="none"/>
              </w:rPr>
            </w:pPr>
          </w:p>
        </w:tc>
        <w:tc>
          <w:tcPr>
            <w:tcW w:w="1195" w:type="dxa"/>
            <w:noWrap w:val="0"/>
            <w:vAlign w:val="top"/>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pStyle w:val="45"/>
              <w:spacing w:before="0" w:beforeAutospacing="0" w:after="0" w:afterAutospacing="0" w:line="360" w:lineRule="auto"/>
              <w:rPr>
                <w:rFonts w:hint="eastAsia"/>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noWrap w:val="0"/>
            <w:vAlign w:val="top"/>
          </w:tcPr>
          <w:p>
            <w:pPr>
              <w:spacing w:line="360" w:lineRule="auto"/>
              <w:rPr>
                <w:rFonts w:hint="eastAsia" w:hAnsi="宋体"/>
                <w:color w:val="auto"/>
                <w:sz w:val="21"/>
                <w:szCs w:val="21"/>
                <w:highlight w:val="none"/>
              </w:rPr>
            </w:pPr>
          </w:p>
        </w:tc>
        <w:tc>
          <w:tcPr>
            <w:tcW w:w="2420" w:type="dxa"/>
            <w:noWrap w:val="0"/>
            <w:vAlign w:val="top"/>
          </w:tcPr>
          <w:p>
            <w:pPr>
              <w:spacing w:line="360" w:lineRule="auto"/>
              <w:rPr>
                <w:rFonts w:hint="eastAsia" w:hAnsi="宋体"/>
                <w:color w:val="auto"/>
                <w:sz w:val="21"/>
                <w:szCs w:val="21"/>
                <w:highlight w:val="none"/>
              </w:rPr>
            </w:pPr>
          </w:p>
        </w:tc>
        <w:tc>
          <w:tcPr>
            <w:tcW w:w="2520" w:type="dxa"/>
            <w:noWrap w:val="0"/>
            <w:vAlign w:val="top"/>
          </w:tcPr>
          <w:p>
            <w:pPr>
              <w:spacing w:line="360" w:lineRule="auto"/>
              <w:rPr>
                <w:rFonts w:hint="eastAsia" w:hAnsi="宋体"/>
                <w:color w:val="auto"/>
                <w:sz w:val="21"/>
                <w:szCs w:val="21"/>
                <w:highlight w:val="none"/>
              </w:rPr>
            </w:pPr>
          </w:p>
        </w:tc>
        <w:tc>
          <w:tcPr>
            <w:tcW w:w="1195" w:type="dxa"/>
            <w:noWrap w:val="0"/>
            <w:vAlign w:val="center"/>
          </w:tcPr>
          <w:p>
            <w:pPr>
              <w:spacing w:line="360" w:lineRule="auto"/>
              <w:jc w:val="center"/>
              <w:rPr>
                <w:rFonts w:hint="eastAsia" w:hAnsi="宋体"/>
                <w:color w:val="auto"/>
                <w:sz w:val="21"/>
                <w:szCs w:val="21"/>
                <w:highlight w:val="none"/>
              </w:rPr>
            </w:pPr>
          </w:p>
        </w:tc>
        <w:tc>
          <w:tcPr>
            <w:tcW w:w="1195" w:type="dxa"/>
            <w:noWrap w:val="0"/>
            <w:vAlign w:val="top"/>
          </w:tcPr>
          <w:p>
            <w:pPr>
              <w:spacing w:line="360" w:lineRule="auto"/>
              <w:rPr>
                <w:rFonts w:hint="eastAsia" w:hAnsi="宋体"/>
                <w:color w:val="auto"/>
                <w:sz w:val="21"/>
                <w:szCs w:val="21"/>
                <w:highlight w:val="none"/>
              </w:rPr>
            </w:pPr>
          </w:p>
        </w:tc>
      </w:tr>
    </w:tbl>
    <w:p>
      <w:pPr>
        <w:spacing w:line="360" w:lineRule="auto"/>
        <w:ind w:left="1052" w:leftChars="132" w:hanging="735" w:hangingChars="350"/>
        <w:rPr>
          <w:rFonts w:hint="eastAsia" w:hAnsi="宋体"/>
          <w:color w:val="auto"/>
          <w:sz w:val="21"/>
          <w:szCs w:val="21"/>
          <w:highlight w:val="none"/>
        </w:rPr>
      </w:pPr>
    </w:p>
    <w:p>
      <w:pPr>
        <w:spacing w:line="360" w:lineRule="auto"/>
        <w:ind w:left="1052" w:leftChars="132" w:hanging="735" w:hangingChars="350"/>
        <w:rPr>
          <w:rFonts w:hint="eastAsia" w:hAnsi="宋体"/>
          <w:b/>
          <w:bCs/>
          <w:color w:val="auto"/>
          <w:sz w:val="21"/>
          <w:szCs w:val="21"/>
          <w:highlight w:val="none"/>
        </w:rPr>
      </w:pPr>
      <w:r>
        <w:rPr>
          <w:rFonts w:hint="eastAsia" w:hAnsi="宋体"/>
          <w:color w:val="auto"/>
          <w:sz w:val="21"/>
          <w:szCs w:val="21"/>
          <w:highlight w:val="none"/>
        </w:rPr>
        <w:t>注：1）投标人应对照招标文件“合同条款”，如实地说明已对招标文件“合同条款”内容的响应情况，并说明与招标文件的偏差和响应情况，若发现虚假填写，作无效投标处理。</w:t>
      </w:r>
    </w:p>
    <w:p>
      <w:pPr>
        <w:spacing w:line="360" w:lineRule="auto"/>
        <w:ind w:left="1054" w:leftChars="308" w:hanging="315" w:hangingChars="150"/>
        <w:rPr>
          <w:rFonts w:hint="eastAsia" w:hAnsi="宋体"/>
          <w:color w:val="auto"/>
          <w:sz w:val="21"/>
          <w:szCs w:val="21"/>
          <w:highlight w:val="none"/>
        </w:rPr>
      </w:pPr>
      <w:r>
        <w:rPr>
          <w:rFonts w:hint="eastAsia" w:hAnsi="宋体"/>
          <w:color w:val="auto"/>
          <w:sz w:val="21"/>
          <w:szCs w:val="21"/>
          <w:highlight w:val="none"/>
        </w:rPr>
        <w:t>2）如投标人差异内容较多可另附页说明。</w:t>
      </w:r>
    </w:p>
    <w:p>
      <w:pPr>
        <w:spacing w:line="360" w:lineRule="auto"/>
        <w:ind w:left="1054" w:leftChars="308" w:hanging="315" w:hangingChars="150"/>
        <w:rPr>
          <w:rFonts w:hint="eastAsia" w:hAnsi="宋体"/>
          <w:color w:val="auto"/>
          <w:sz w:val="21"/>
          <w:szCs w:val="21"/>
          <w:highlight w:val="none"/>
        </w:rPr>
      </w:pPr>
      <w:r>
        <w:rPr>
          <w:rFonts w:hint="eastAsia" w:hAnsi="宋体"/>
          <w:color w:val="auto"/>
          <w:sz w:val="21"/>
          <w:szCs w:val="21"/>
          <w:highlight w:val="none"/>
        </w:rPr>
        <w:t>3）如投标人对“合同条款”全部响应的，也可以在表格下面用文字总括性的说明。</w:t>
      </w:r>
    </w:p>
    <w:p>
      <w:pPr>
        <w:spacing w:line="360" w:lineRule="auto"/>
        <w:ind w:left="1052" w:leftChars="132" w:hanging="735" w:hangingChars="350"/>
        <w:rPr>
          <w:rFonts w:hint="eastAsia" w:hAnsi="宋体"/>
          <w:color w:val="auto"/>
          <w:sz w:val="21"/>
          <w:szCs w:val="21"/>
          <w:highlight w:val="none"/>
        </w:rPr>
      </w:pPr>
      <w:r>
        <w:rPr>
          <w:rFonts w:hint="eastAsia" w:hAnsi="宋体"/>
          <w:color w:val="auto"/>
          <w:sz w:val="21"/>
          <w:szCs w:val="21"/>
          <w:highlight w:val="none"/>
        </w:rPr>
        <w:t xml:space="preserve">    4）如有偏离，应在“偏离情况”栏内注明“有”，并在“说明”栏内予以说明；如无偏离，应在“偏离情况”栏内注明“无”。</w:t>
      </w:r>
    </w:p>
    <w:p>
      <w:pPr>
        <w:pStyle w:val="145"/>
        <w:spacing w:line="360" w:lineRule="auto"/>
        <w:rPr>
          <w:rFonts w:hint="eastAsia" w:ascii="宋体" w:hAnsi="宋体"/>
          <w:color w:val="auto"/>
          <w:sz w:val="28"/>
          <w:szCs w:val="28"/>
          <w:highlight w:val="none"/>
        </w:rPr>
      </w:pPr>
    </w:p>
    <w:p>
      <w:pPr>
        <w:pStyle w:val="145"/>
        <w:spacing w:line="360" w:lineRule="auto"/>
        <w:rPr>
          <w:rFonts w:hint="eastAsia" w:ascii="宋体" w:hAnsi="宋体"/>
          <w:color w:val="auto"/>
          <w:sz w:val="28"/>
          <w:szCs w:val="28"/>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pacing w:line="360" w:lineRule="auto"/>
        <w:rPr>
          <w:rFonts w:hint="eastAsia" w:hAnsi="宋体"/>
          <w:color w:val="auto"/>
          <w:sz w:val="21"/>
          <w:szCs w:val="21"/>
          <w:highlight w:val="none"/>
        </w:rPr>
      </w:pPr>
    </w:p>
    <w:p>
      <w:pPr>
        <w:pStyle w:val="4"/>
        <w:pageBreakBefore/>
        <w:numPr>
          <w:ilvl w:val="1"/>
          <w:numId w:val="28"/>
        </w:numPr>
        <w:spacing w:line="360" w:lineRule="auto"/>
        <w:ind w:left="0" w:firstLine="0"/>
        <w:jc w:val="center"/>
        <w:rPr>
          <w:rFonts w:hint="eastAsia"/>
          <w:b/>
          <w:color w:val="auto"/>
          <w:highlight w:val="none"/>
        </w:rPr>
      </w:pPr>
      <w:bookmarkStart w:id="239" w:name="_Toc23872"/>
      <w:bookmarkStart w:id="240" w:name="_Toc3118"/>
      <w:bookmarkStart w:id="241" w:name="_Toc27702"/>
      <w:bookmarkStart w:id="242" w:name="_Toc3136"/>
      <w:bookmarkStart w:id="243" w:name="_Toc1367"/>
      <w:bookmarkStart w:id="244" w:name="_Toc10037"/>
      <w:bookmarkStart w:id="245" w:name="_Toc3217"/>
      <w:bookmarkStart w:id="246" w:name="_Toc30323"/>
      <w:bookmarkStart w:id="247" w:name="_Toc32088"/>
      <w:bookmarkStart w:id="248" w:name="_Toc5428"/>
      <w:bookmarkStart w:id="249" w:name="_Toc28801"/>
      <w:bookmarkStart w:id="250" w:name="_Toc5164"/>
      <w:r>
        <w:rPr>
          <w:rFonts w:hint="eastAsia"/>
          <w:b/>
          <w:color w:val="auto"/>
          <w:highlight w:val="none"/>
        </w:rPr>
        <w:t>投标保证金汇入情况说明</w:t>
      </w:r>
      <w:bookmarkEnd w:id="239"/>
      <w:bookmarkEnd w:id="240"/>
      <w:bookmarkEnd w:id="241"/>
      <w:bookmarkEnd w:id="242"/>
      <w:bookmarkEnd w:id="243"/>
      <w:bookmarkEnd w:id="244"/>
      <w:bookmarkEnd w:id="245"/>
      <w:bookmarkEnd w:id="246"/>
      <w:bookmarkEnd w:id="247"/>
      <w:bookmarkEnd w:id="248"/>
      <w:bookmarkEnd w:id="249"/>
      <w:bookmarkEnd w:id="250"/>
    </w:p>
    <w:p>
      <w:pPr>
        <w:spacing w:line="360" w:lineRule="auto"/>
        <w:rPr>
          <w:rFonts w:hint="eastAsia" w:hAnsi="宋体"/>
          <w:color w:val="auto"/>
          <w:sz w:val="21"/>
          <w:szCs w:val="21"/>
          <w:highlight w:val="none"/>
        </w:rPr>
      </w:pPr>
    </w:p>
    <w:p>
      <w:pPr>
        <w:spacing w:line="360" w:lineRule="auto"/>
        <w:rPr>
          <w:rFonts w:hint="eastAsia" w:hAnsi="宋体"/>
          <w:b/>
          <w:color w:val="auto"/>
          <w:sz w:val="21"/>
          <w:szCs w:val="21"/>
          <w:highlight w:val="none"/>
        </w:rPr>
      </w:pPr>
      <w:r>
        <w:rPr>
          <w:rFonts w:hint="eastAsia" w:hAnsi="宋体"/>
          <w:b/>
          <w:color w:val="auto"/>
          <w:sz w:val="21"/>
          <w:szCs w:val="21"/>
          <w:highlight w:val="none"/>
        </w:rPr>
        <w:t xml:space="preserve">致：广东泰通伟业工程咨询有限公司 </w:t>
      </w:r>
    </w:p>
    <w:p>
      <w:pPr>
        <w:spacing w:line="360" w:lineRule="auto"/>
        <w:rPr>
          <w:rFonts w:hint="eastAsia" w:hAnsi="宋体"/>
          <w:color w:val="auto"/>
          <w:sz w:val="21"/>
          <w:szCs w:val="21"/>
          <w:highlight w:val="none"/>
        </w:rPr>
      </w:pP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本单位已按</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u w:val="single"/>
          <w:lang w:val="zh-CN"/>
        </w:rPr>
        <w:t>项目名称）</w:t>
      </w:r>
      <w:r>
        <w:rPr>
          <w:rFonts w:hint="eastAsia" w:hAnsi="宋体"/>
          <w:color w:val="auto"/>
          <w:sz w:val="21"/>
          <w:szCs w:val="32"/>
          <w:highlight w:val="none"/>
        </w:rPr>
        <w:t>(</w:t>
      </w:r>
      <w:r>
        <w:rPr>
          <w:rFonts w:hint="eastAsia" w:hAnsi="宋体"/>
          <w:color w:val="auto"/>
          <w:kern w:val="2"/>
          <w:sz w:val="21"/>
          <w:szCs w:val="21"/>
          <w:highlight w:val="none"/>
          <w:lang w:val="zh-CN"/>
        </w:rPr>
        <w:t>项目编号：</w:t>
      </w:r>
      <w:r>
        <w:rPr>
          <w:rFonts w:hint="eastAsia" w:hAnsi="宋体"/>
          <w:color w:val="auto"/>
          <w:kern w:val="2"/>
          <w:sz w:val="21"/>
          <w:szCs w:val="21"/>
          <w:highlight w:val="none"/>
        </w:rPr>
        <w:t xml:space="preserve">    </w:t>
      </w:r>
      <w:r>
        <w:rPr>
          <w:rFonts w:hint="eastAsia" w:hAnsi="宋体"/>
          <w:color w:val="auto"/>
          <w:kern w:val="2"/>
          <w:sz w:val="21"/>
          <w:szCs w:val="21"/>
          <w:highlight w:val="none"/>
          <w:lang w:val="zh-CN"/>
        </w:rPr>
        <w:t>)</w:t>
      </w:r>
      <w:r>
        <w:rPr>
          <w:rFonts w:hint="eastAsia" w:hAnsi="宋体"/>
          <w:color w:val="auto"/>
          <w:sz w:val="21"/>
          <w:szCs w:val="21"/>
          <w:highlight w:val="none"/>
        </w:rPr>
        <w:t>的招标文件要求，于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日前以</w:t>
      </w:r>
      <w:r>
        <w:rPr>
          <w:rFonts w:hint="eastAsia" w:hAnsi="宋体"/>
          <w:color w:val="auto"/>
          <w:sz w:val="21"/>
          <w:szCs w:val="21"/>
          <w:highlight w:val="none"/>
          <w:u w:val="single"/>
        </w:rPr>
        <w:t xml:space="preserve">    （付款形式）  </w:t>
      </w:r>
      <w:r>
        <w:rPr>
          <w:rFonts w:hint="eastAsia" w:hAnsi="宋体"/>
          <w:color w:val="auto"/>
          <w:sz w:val="21"/>
          <w:szCs w:val="21"/>
          <w:highlight w:val="none"/>
        </w:rPr>
        <w:t>方式汇入指定帐户（帐户名称：</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，帐号 </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,开户银行：</w:t>
      </w:r>
      <w:r>
        <w:rPr>
          <w:rFonts w:hint="eastAsia" w:hAnsi="宋体"/>
          <w:color w:val="auto"/>
          <w:sz w:val="21"/>
          <w:szCs w:val="21"/>
          <w:highlight w:val="none"/>
          <w:u w:val="single"/>
        </w:rPr>
        <w:t xml:space="preserve">             </w:t>
      </w:r>
      <w:r>
        <w:rPr>
          <w:rFonts w:hint="eastAsia" w:hAnsi="宋体"/>
          <w:color w:val="auto"/>
          <w:sz w:val="21"/>
          <w:szCs w:val="21"/>
          <w:highlight w:val="none"/>
        </w:rPr>
        <w:t>）。</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本单位投标保证金的汇款情况：（详见附件－投标保证金进帐单）</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汇出时间：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w:t>
      </w:r>
      <w:r>
        <w:rPr>
          <w:rFonts w:hint="eastAsia" w:hAnsi="宋体"/>
          <w:color w:val="auto"/>
          <w:sz w:val="21"/>
          <w:szCs w:val="21"/>
          <w:highlight w:val="none"/>
        </w:rPr>
        <w:t>元（小写：￥</w:t>
      </w:r>
      <w:r>
        <w:rPr>
          <w:rFonts w:hint="eastAsia" w:hAnsi="宋体"/>
          <w:color w:val="auto"/>
          <w:sz w:val="21"/>
          <w:szCs w:val="21"/>
          <w:highlight w:val="none"/>
          <w:u w:val="single"/>
        </w:rPr>
        <w:t xml:space="preserve">      </w:t>
      </w:r>
      <w:r>
        <w:rPr>
          <w:rFonts w:hint="eastAsia" w:hAnsi="宋体"/>
          <w:color w:val="auto"/>
          <w:sz w:val="21"/>
          <w:szCs w:val="21"/>
          <w:highlight w:val="none"/>
        </w:rPr>
        <w:t>元）</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（必须是投标时使用的帐户名）   </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（必须是投标时使用的帐号）     </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省    市                    </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投标保证金退回时，请按上述资料退回。</w:t>
      </w:r>
    </w:p>
    <w:p>
      <w:pPr>
        <w:spacing w:line="360" w:lineRule="auto"/>
        <w:ind w:right="965" w:rightChars="402"/>
        <w:jc w:val="right"/>
        <w:rPr>
          <w:rFonts w:hint="eastAsia" w:hAnsi="宋体"/>
          <w:color w:val="auto"/>
          <w:sz w:val="21"/>
          <w:szCs w:val="21"/>
          <w:highlight w:val="none"/>
        </w:rPr>
      </w:pPr>
      <w:r>
        <w:rPr>
          <w:rFonts w:hint="eastAsia" w:hAnsi="宋体"/>
          <w:color w:val="auto"/>
          <w:sz w:val="21"/>
          <w:szCs w:val="21"/>
          <w:highlight w:val="none"/>
        </w:rPr>
        <w:t>（单位公章）</w:t>
      </w:r>
    </w:p>
    <w:p>
      <w:pPr>
        <w:spacing w:line="360" w:lineRule="auto"/>
        <w:ind w:right="718" w:rightChars="299"/>
        <w:jc w:val="right"/>
        <w:rPr>
          <w:rFonts w:hint="eastAsia" w:hAnsi="宋体"/>
          <w:color w:val="auto"/>
          <w:sz w:val="21"/>
          <w:szCs w:val="21"/>
          <w:highlight w:val="none"/>
        </w:rPr>
      </w:pPr>
      <w:r>
        <w:rPr>
          <w:rFonts w:hint="eastAsia" w:hAnsi="宋体"/>
          <w:color w:val="auto"/>
          <w:sz w:val="21"/>
          <w:szCs w:val="21"/>
          <w:highlight w:val="none"/>
        </w:rPr>
        <w:t>年  月  日</w:t>
      </w:r>
    </w:p>
    <w:p>
      <w:pPr>
        <w:spacing w:line="360" w:lineRule="auto"/>
        <w:rPr>
          <w:rFonts w:hint="eastAsia" w:hAnsi="宋体"/>
          <w:color w:val="auto"/>
          <w:sz w:val="21"/>
          <w:szCs w:val="21"/>
          <w:highlight w:val="none"/>
        </w:rPr>
      </w:pPr>
      <w:r>
        <w:rPr>
          <w:rFonts w:hint="eastAsia" w:hAnsi="宋体"/>
          <w:color w:val="auto"/>
          <w:sz w:val="21"/>
          <w:szCs w:val="21"/>
          <w:highlight w:val="none"/>
        </w:rPr>
        <w:t>单位名称：</w:t>
      </w:r>
      <w:r>
        <w:rPr>
          <w:rFonts w:hint="eastAsia" w:hAnsi="宋体"/>
          <w:color w:val="auto"/>
          <w:sz w:val="21"/>
          <w:szCs w:val="21"/>
          <w:highlight w:val="none"/>
          <w:u w:val="single"/>
        </w:rPr>
        <w:t xml:space="preserve">                   </w:t>
      </w:r>
    </w:p>
    <w:p>
      <w:pPr>
        <w:spacing w:line="360" w:lineRule="auto"/>
        <w:rPr>
          <w:rFonts w:hint="eastAsia" w:hAnsi="宋体"/>
          <w:color w:val="auto"/>
          <w:sz w:val="21"/>
          <w:szCs w:val="21"/>
          <w:highlight w:val="none"/>
        </w:rPr>
      </w:pPr>
      <w:r>
        <w:rPr>
          <w:rFonts w:hint="eastAsia" w:hAnsi="宋体"/>
          <w:color w:val="auto"/>
          <w:sz w:val="21"/>
          <w:szCs w:val="21"/>
          <w:highlight w:val="none"/>
        </w:rPr>
        <w:t>单位地址：</w:t>
      </w:r>
      <w:r>
        <w:rPr>
          <w:rFonts w:hint="eastAsia" w:hAnsi="宋体"/>
          <w:color w:val="auto"/>
          <w:sz w:val="21"/>
          <w:szCs w:val="21"/>
          <w:highlight w:val="none"/>
          <w:u w:val="single"/>
        </w:rPr>
        <w:t xml:space="preserve">                   </w:t>
      </w:r>
    </w:p>
    <w:p>
      <w:pPr>
        <w:spacing w:line="360" w:lineRule="auto"/>
        <w:rPr>
          <w:rFonts w:hint="eastAsia" w:hAnsi="宋体"/>
          <w:color w:val="auto"/>
          <w:sz w:val="21"/>
          <w:szCs w:val="21"/>
          <w:highlight w:val="none"/>
        </w:rPr>
      </w:pPr>
      <w:r>
        <w:rPr>
          <w:rFonts w:hint="eastAsia" w:hAnsi="宋体"/>
          <w:color w:val="auto"/>
          <w:sz w:val="21"/>
          <w:szCs w:val="21"/>
          <w:highlight w:val="none"/>
        </w:rPr>
        <w:t>联系人：</w:t>
      </w:r>
      <w:r>
        <w:rPr>
          <w:rFonts w:hint="eastAsia" w:hAnsi="宋体"/>
          <w:color w:val="auto"/>
          <w:sz w:val="21"/>
          <w:szCs w:val="21"/>
          <w:highlight w:val="none"/>
          <w:u w:val="single"/>
        </w:rPr>
        <w:t xml:space="preserve">                     </w:t>
      </w:r>
    </w:p>
    <w:p>
      <w:pPr>
        <w:spacing w:line="360" w:lineRule="auto"/>
        <w:rPr>
          <w:rFonts w:hint="eastAsia" w:hAnsi="宋体"/>
          <w:color w:val="auto"/>
          <w:sz w:val="21"/>
          <w:szCs w:val="21"/>
          <w:highlight w:val="none"/>
        </w:rPr>
      </w:pPr>
      <w:r>
        <w:rPr>
          <w:rFonts w:hint="eastAsia" w:hAnsi="宋体"/>
          <w:color w:val="auto"/>
          <w:sz w:val="21"/>
          <w:szCs w:val="21"/>
          <w:highlight w:val="none"/>
        </w:rPr>
        <w:t>单位电话：</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spacing w:line="360" w:lineRule="auto"/>
        <w:rPr>
          <w:rFonts w:hint="eastAsia" w:hAnsi="宋体"/>
          <w:color w:val="auto"/>
          <w:sz w:val="21"/>
          <w:szCs w:val="21"/>
          <w:highlight w:val="none"/>
        </w:rPr>
      </w:pPr>
      <w:r>
        <w:rPr>
          <w:rFonts w:hint="eastAsia" w:hAnsi="宋体"/>
          <w:color w:val="auto"/>
          <w:sz w:val="21"/>
          <w:szCs w:val="21"/>
          <w:highlight w:val="none"/>
        </w:rPr>
        <w:t>联系人手机：</w:t>
      </w:r>
      <w:r>
        <w:rPr>
          <w:rFonts w:hint="eastAsia" w:hAnsi="宋体"/>
          <w:color w:val="auto"/>
          <w:sz w:val="21"/>
          <w:szCs w:val="21"/>
          <w:highlight w:val="none"/>
          <w:u w:val="single"/>
        </w:rPr>
        <w:t xml:space="preserve">                </w:t>
      </w:r>
    </w:p>
    <w:p>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附：我方投标保证金汇款凭证</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9179" w:type="dxa"/>
            <w:noWrap w:val="0"/>
            <w:vAlign w:val="center"/>
          </w:tcPr>
          <w:p>
            <w:pPr>
              <w:tabs>
                <w:tab w:val="left" w:pos="3885"/>
              </w:tabs>
              <w:spacing w:line="360" w:lineRule="auto"/>
              <w:jc w:val="center"/>
              <w:rPr>
                <w:rFonts w:hint="eastAsia" w:hAnsi="宋体"/>
                <w:color w:val="auto"/>
                <w:sz w:val="21"/>
                <w:szCs w:val="21"/>
                <w:highlight w:val="none"/>
              </w:rPr>
            </w:pPr>
            <w:r>
              <w:rPr>
                <w:rFonts w:hint="eastAsia" w:hAnsi="宋体"/>
                <w:color w:val="auto"/>
                <w:sz w:val="21"/>
                <w:szCs w:val="21"/>
                <w:highlight w:val="none"/>
              </w:rPr>
              <w:t>（粘贴汇款单或转账</w:t>
            </w:r>
            <w:r>
              <w:rPr>
                <w:rFonts w:hAnsi="宋体"/>
                <w:color w:val="auto"/>
                <w:sz w:val="21"/>
                <w:szCs w:val="21"/>
                <w:highlight w:val="none"/>
              </w:rPr>
              <w:t>凭证</w:t>
            </w:r>
            <w:r>
              <w:rPr>
                <w:rFonts w:hint="eastAsia" w:hAnsi="宋体"/>
                <w:color w:val="auto"/>
                <w:sz w:val="21"/>
                <w:szCs w:val="21"/>
                <w:highlight w:val="none"/>
              </w:rPr>
              <w:t>复印件，并在骑缝上加盖公章，或是直接把转账</w:t>
            </w:r>
            <w:r>
              <w:rPr>
                <w:rFonts w:hAnsi="宋体"/>
                <w:color w:val="auto"/>
                <w:sz w:val="21"/>
                <w:szCs w:val="21"/>
                <w:highlight w:val="none"/>
              </w:rPr>
              <w:t>凭证</w:t>
            </w:r>
            <w:r>
              <w:rPr>
                <w:rFonts w:hint="eastAsia" w:hAnsi="宋体"/>
                <w:color w:val="auto"/>
                <w:sz w:val="21"/>
                <w:szCs w:val="21"/>
                <w:highlight w:val="none"/>
              </w:rPr>
              <w:t>复印到此张纸上）</w:t>
            </w:r>
          </w:p>
        </w:tc>
      </w:tr>
    </w:tbl>
    <w:p>
      <w:pPr>
        <w:spacing w:line="360" w:lineRule="auto"/>
        <w:rPr>
          <w:rFonts w:hint="eastAsia" w:hAnsi="宋体"/>
          <w:color w:val="auto"/>
          <w:sz w:val="21"/>
          <w:szCs w:val="21"/>
          <w:highlight w:val="none"/>
        </w:rPr>
      </w:pPr>
    </w:p>
    <w:p>
      <w:pPr>
        <w:rPr>
          <w:rFonts w:hint="eastAsia" w:hAnsi="宋体"/>
          <w:color w:val="auto"/>
          <w:kern w:val="2"/>
          <w:sz w:val="21"/>
          <w:highlight w:val="none"/>
          <w:lang w:val="zh-CN"/>
        </w:rPr>
      </w:pPr>
    </w:p>
    <w:p>
      <w:pPr>
        <w:rPr>
          <w:rFonts w:hint="eastAsia" w:hAnsi="宋体"/>
          <w:color w:val="auto"/>
          <w:kern w:val="2"/>
          <w:sz w:val="21"/>
          <w:highlight w:val="none"/>
          <w:lang w:val="zh-CN"/>
        </w:rPr>
      </w:pPr>
    </w:p>
    <w:p>
      <w:pPr>
        <w:tabs>
          <w:tab w:val="left" w:pos="1235"/>
        </w:tabs>
        <w:rPr>
          <w:rFonts w:hint="eastAsia"/>
          <w:color w:val="auto"/>
          <w:highlight w:val="none"/>
          <w:lang w:val="zh-CN"/>
        </w:rPr>
      </w:pPr>
    </w:p>
    <w:p>
      <w:pPr>
        <w:pStyle w:val="4"/>
        <w:pageBreakBefore/>
        <w:numPr>
          <w:ilvl w:val="1"/>
          <w:numId w:val="28"/>
        </w:numPr>
        <w:ind w:left="0" w:leftChars="-59" w:hanging="142" w:hangingChars="59"/>
        <w:jc w:val="center"/>
        <w:rPr>
          <w:rFonts w:hint="eastAsia" w:hAnsi="宋体"/>
          <w:b/>
          <w:bCs/>
          <w:color w:val="auto"/>
          <w:highlight w:val="none"/>
        </w:rPr>
      </w:pPr>
      <w:bookmarkStart w:id="251" w:name="_Toc2853"/>
      <w:bookmarkStart w:id="252" w:name="_Toc6619"/>
      <w:bookmarkStart w:id="253" w:name="_Toc12775"/>
      <w:bookmarkStart w:id="254" w:name="_Toc743"/>
      <w:bookmarkStart w:id="255" w:name="_Toc31960"/>
      <w:bookmarkStart w:id="256" w:name="_Toc25094"/>
      <w:bookmarkStart w:id="257" w:name="_Toc27725"/>
      <w:bookmarkStart w:id="258" w:name="_Toc6343"/>
      <w:bookmarkStart w:id="259" w:name="_Toc32239"/>
      <w:bookmarkStart w:id="260" w:name="_Toc18259"/>
      <w:bookmarkStart w:id="261" w:name="_Toc11901"/>
      <w:bookmarkStart w:id="262" w:name="_Toc20855"/>
      <w:r>
        <w:rPr>
          <w:rFonts w:hint="eastAsia" w:hAnsi="宋体"/>
          <w:b/>
          <w:bCs/>
          <w:color w:val="auto"/>
          <w:highlight w:val="none"/>
        </w:rPr>
        <w:t>其他资料</w:t>
      </w:r>
      <w:bookmarkEnd w:id="251"/>
      <w:bookmarkEnd w:id="252"/>
      <w:bookmarkEnd w:id="253"/>
      <w:bookmarkEnd w:id="254"/>
      <w:bookmarkEnd w:id="255"/>
      <w:bookmarkEnd w:id="256"/>
      <w:bookmarkEnd w:id="257"/>
      <w:bookmarkEnd w:id="258"/>
      <w:bookmarkEnd w:id="259"/>
      <w:bookmarkEnd w:id="260"/>
      <w:bookmarkEnd w:id="261"/>
      <w:bookmarkEnd w:id="262"/>
    </w:p>
    <w:p>
      <w:pPr>
        <w:spacing w:line="360" w:lineRule="auto"/>
        <w:rPr>
          <w:rFonts w:hint="eastAsia" w:hAnsi="宋体"/>
          <w:color w:val="auto"/>
          <w:sz w:val="21"/>
          <w:szCs w:val="21"/>
          <w:highlight w:val="none"/>
        </w:rPr>
      </w:pPr>
      <w:r>
        <w:rPr>
          <w:rFonts w:hint="eastAsia" w:hAnsi="宋体"/>
          <w:color w:val="auto"/>
          <w:sz w:val="21"/>
          <w:szCs w:val="21"/>
          <w:highlight w:val="none"/>
        </w:rPr>
        <w:t>1、招标文件要求提供的其他资料（如有）</w:t>
      </w:r>
    </w:p>
    <w:p>
      <w:pPr>
        <w:spacing w:line="360" w:lineRule="auto"/>
        <w:rPr>
          <w:rFonts w:hint="eastAsia" w:hAnsi="宋体"/>
          <w:color w:val="auto"/>
          <w:sz w:val="21"/>
          <w:szCs w:val="21"/>
          <w:highlight w:val="none"/>
        </w:rPr>
      </w:pPr>
      <w:r>
        <w:rPr>
          <w:rFonts w:hint="eastAsia" w:hAnsi="宋体"/>
          <w:color w:val="auto"/>
          <w:sz w:val="21"/>
          <w:szCs w:val="21"/>
          <w:highlight w:val="none"/>
        </w:rPr>
        <w:t>2、投标人认为需要提供的其他资料（如有）</w:t>
      </w:r>
    </w:p>
    <w:p>
      <w:pPr>
        <w:spacing w:line="360" w:lineRule="auto"/>
        <w:rPr>
          <w:rFonts w:hint="eastAsia" w:hAnsi="宋体"/>
          <w:b/>
          <w:color w:val="auto"/>
          <w:sz w:val="21"/>
          <w:szCs w:val="21"/>
          <w:highlight w:val="none"/>
        </w:rPr>
      </w:pPr>
    </w:p>
    <w:p>
      <w:pPr>
        <w:pStyle w:val="2"/>
        <w:pageBreakBefore/>
        <w:spacing w:line="360" w:lineRule="auto"/>
        <w:jc w:val="center"/>
        <w:rPr>
          <w:rFonts w:hint="eastAsia"/>
          <w:bCs/>
          <w:color w:val="auto"/>
          <w:sz w:val="28"/>
          <w:szCs w:val="28"/>
          <w:highlight w:val="none"/>
        </w:rPr>
      </w:pPr>
      <w:bookmarkStart w:id="263" w:name="_Toc396137258"/>
      <w:bookmarkStart w:id="264" w:name="_Toc6533"/>
      <w:bookmarkStart w:id="265" w:name="_Toc6456"/>
      <w:bookmarkStart w:id="266" w:name="_Toc15356"/>
      <w:bookmarkStart w:id="267" w:name="_Toc22761"/>
      <w:bookmarkStart w:id="268" w:name="_Toc24829"/>
      <w:bookmarkStart w:id="269" w:name="_Toc18791"/>
      <w:bookmarkStart w:id="270" w:name="_Toc28944"/>
      <w:bookmarkStart w:id="271" w:name="_Toc27218"/>
      <w:bookmarkStart w:id="272" w:name="_Toc20966"/>
      <w:bookmarkStart w:id="273" w:name="_Toc2718"/>
      <w:bookmarkStart w:id="274" w:name="_Toc6714"/>
      <w:bookmarkStart w:id="275" w:name="_Toc18072"/>
      <w:r>
        <w:rPr>
          <w:rFonts w:hint="eastAsia"/>
          <w:bCs/>
          <w:color w:val="auto"/>
          <w:sz w:val="28"/>
          <w:szCs w:val="28"/>
          <w:highlight w:val="none"/>
        </w:rPr>
        <w:t>第四部分 技术</w:t>
      </w:r>
      <w:bookmarkEnd w:id="263"/>
      <w:bookmarkEnd w:id="264"/>
      <w:bookmarkEnd w:id="265"/>
      <w:bookmarkEnd w:id="266"/>
      <w:bookmarkEnd w:id="267"/>
      <w:bookmarkEnd w:id="268"/>
      <w:bookmarkEnd w:id="269"/>
      <w:r>
        <w:rPr>
          <w:rFonts w:hint="eastAsia"/>
          <w:bCs/>
          <w:color w:val="auto"/>
          <w:sz w:val="28"/>
          <w:szCs w:val="28"/>
          <w:highlight w:val="none"/>
        </w:rPr>
        <w:t>文件</w:t>
      </w:r>
      <w:bookmarkEnd w:id="270"/>
      <w:bookmarkEnd w:id="271"/>
      <w:bookmarkEnd w:id="272"/>
      <w:bookmarkEnd w:id="273"/>
      <w:bookmarkEnd w:id="274"/>
      <w:bookmarkEnd w:id="275"/>
    </w:p>
    <w:bookmarkEnd w:id="188"/>
    <w:p>
      <w:pPr>
        <w:pStyle w:val="4"/>
        <w:numPr>
          <w:ilvl w:val="1"/>
          <w:numId w:val="31"/>
        </w:numPr>
        <w:spacing w:line="360" w:lineRule="auto"/>
        <w:ind w:left="0" w:firstLine="0"/>
        <w:jc w:val="center"/>
        <w:rPr>
          <w:rFonts w:hint="eastAsia"/>
          <w:b/>
          <w:color w:val="auto"/>
          <w:highlight w:val="none"/>
        </w:rPr>
      </w:pPr>
      <w:bookmarkStart w:id="276" w:name="_Toc25933"/>
      <w:bookmarkStart w:id="277" w:name="_Toc14821"/>
      <w:bookmarkStart w:id="278" w:name="_Toc10314"/>
      <w:bookmarkStart w:id="279" w:name="_Toc18169"/>
      <w:bookmarkStart w:id="280" w:name="_Toc7612"/>
      <w:bookmarkStart w:id="281" w:name="_Toc23064"/>
      <w:bookmarkStart w:id="282" w:name="_Toc10094"/>
      <w:bookmarkStart w:id="283" w:name="_Toc30358"/>
      <w:bookmarkStart w:id="284" w:name="_Toc28663"/>
      <w:bookmarkStart w:id="285" w:name="_Toc20202"/>
      <w:bookmarkStart w:id="286" w:name="_Toc25270"/>
      <w:bookmarkStart w:id="287" w:name="_Toc5427"/>
      <w:r>
        <w:rPr>
          <w:rFonts w:hint="eastAsia"/>
          <w:b/>
          <w:color w:val="auto"/>
          <w:highlight w:val="none"/>
        </w:rPr>
        <w:t>技术偏离表</w:t>
      </w:r>
      <w:bookmarkEnd w:id="276"/>
      <w:bookmarkEnd w:id="277"/>
      <w:bookmarkEnd w:id="278"/>
      <w:bookmarkEnd w:id="279"/>
      <w:bookmarkEnd w:id="280"/>
      <w:bookmarkEnd w:id="281"/>
      <w:bookmarkEnd w:id="282"/>
      <w:bookmarkEnd w:id="283"/>
      <w:bookmarkEnd w:id="284"/>
      <w:bookmarkEnd w:id="285"/>
      <w:bookmarkEnd w:id="286"/>
      <w:bookmarkEnd w:id="287"/>
    </w:p>
    <w:p>
      <w:pPr>
        <w:spacing w:line="360" w:lineRule="auto"/>
        <w:rPr>
          <w:rFonts w:hint="eastAsia" w:hAnsi="宋体"/>
          <w:color w:val="auto"/>
          <w:sz w:val="21"/>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033"/>
        <w:gridCol w:w="2551"/>
        <w:gridCol w:w="14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0"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招标文件条目号</w:t>
            </w:r>
          </w:p>
        </w:tc>
        <w:tc>
          <w:tcPr>
            <w:tcW w:w="2033"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招标要求</w:t>
            </w:r>
          </w:p>
        </w:tc>
        <w:tc>
          <w:tcPr>
            <w:tcW w:w="2551"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投标规格</w:t>
            </w:r>
          </w:p>
        </w:tc>
        <w:tc>
          <w:tcPr>
            <w:tcW w:w="1418"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偏离情况</w:t>
            </w:r>
          </w:p>
        </w:tc>
        <w:tc>
          <w:tcPr>
            <w:tcW w:w="851" w:type="dxa"/>
            <w:noWrap w:val="0"/>
            <w:vAlign w:val="center"/>
          </w:tcPr>
          <w:p>
            <w:pPr>
              <w:spacing w:line="360" w:lineRule="auto"/>
              <w:jc w:val="center"/>
              <w:rPr>
                <w:rFonts w:hint="eastAsia" w:hAnsi="宋体"/>
                <w:color w:val="auto"/>
                <w:sz w:val="21"/>
                <w:szCs w:val="21"/>
                <w:highlight w:val="none"/>
              </w:rPr>
            </w:pPr>
            <w:r>
              <w:rPr>
                <w:rFonts w:hint="eastAsia" w:hAnsi="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color w:val="auto"/>
                <w:sz w:val="21"/>
                <w:szCs w:val="21"/>
                <w:highlight w:val="none"/>
              </w:rPr>
            </w:pPr>
          </w:p>
        </w:tc>
        <w:tc>
          <w:tcPr>
            <w:tcW w:w="2033" w:type="dxa"/>
            <w:noWrap w:val="0"/>
            <w:vAlign w:val="top"/>
          </w:tcPr>
          <w:p>
            <w:pPr>
              <w:spacing w:line="360" w:lineRule="auto"/>
              <w:rPr>
                <w:rFonts w:hAnsi="宋体"/>
                <w:b/>
                <w:color w:val="auto"/>
                <w:sz w:val="21"/>
                <w:szCs w:val="21"/>
                <w:highlight w:val="none"/>
              </w:rPr>
            </w:pPr>
          </w:p>
        </w:tc>
        <w:tc>
          <w:tcPr>
            <w:tcW w:w="2551" w:type="dxa"/>
            <w:noWrap w:val="0"/>
            <w:vAlign w:val="top"/>
          </w:tcPr>
          <w:p>
            <w:pPr>
              <w:spacing w:line="360" w:lineRule="auto"/>
              <w:rPr>
                <w:rFonts w:hAnsi="宋体"/>
                <w:b/>
                <w:color w:val="auto"/>
                <w:sz w:val="21"/>
                <w:szCs w:val="21"/>
                <w:highlight w:val="none"/>
              </w:rPr>
            </w:pPr>
          </w:p>
        </w:tc>
        <w:tc>
          <w:tcPr>
            <w:tcW w:w="1418" w:type="dxa"/>
            <w:noWrap w:val="0"/>
            <w:vAlign w:val="top"/>
          </w:tcPr>
          <w:p>
            <w:pPr>
              <w:spacing w:line="360" w:lineRule="auto"/>
              <w:rPr>
                <w:rFonts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center"/>
          </w:tcPr>
          <w:p>
            <w:pPr>
              <w:spacing w:line="360" w:lineRule="auto"/>
              <w:rPr>
                <w:rFonts w:hint="eastAsia" w:hAnsi="宋体" w:cs="宋体"/>
                <w:color w:val="auto"/>
                <w:sz w:val="21"/>
                <w:szCs w:val="21"/>
                <w:highlight w:val="none"/>
              </w:rPr>
            </w:pPr>
          </w:p>
        </w:tc>
        <w:tc>
          <w:tcPr>
            <w:tcW w:w="2033" w:type="dxa"/>
            <w:noWrap w:val="0"/>
            <w:vAlign w:val="center"/>
          </w:tcPr>
          <w:p>
            <w:pPr>
              <w:spacing w:line="360" w:lineRule="auto"/>
              <w:rPr>
                <w:rFonts w:hAnsi="宋体" w:cs="宋体"/>
                <w:color w:val="auto"/>
                <w:sz w:val="21"/>
                <w:szCs w:val="21"/>
                <w:highlight w:val="none"/>
              </w:rPr>
            </w:pPr>
          </w:p>
        </w:tc>
        <w:tc>
          <w:tcPr>
            <w:tcW w:w="2551" w:type="dxa"/>
            <w:noWrap w:val="0"/>
            <w:vAlign w:val="top"/>
          </w:tcPr>
          <w:p>
            <w:pPr>
              <w:spacing w:line="360" w:lineRule="auto"/>
              <w:rPr>
                <w:rFonts w:hint="eastAsia" w:hAnsi="宋体"/>
                <w:b/>
                <w:color w:val="auto"/>
                <w:sz w:val="21"/>
                <w:szCs w:val="21"/>
                <w:highlight w:val="none"/>
              </w:rPr>
            </w:pPr>
          </w:p>
        </w:tc>
        <w:tc>
          <w:tcPr>
            <w:tcW w:w="1418" w:type="dxa"/>
            <w:noWrap w:val="0"/>
            <w:vAlign w:val="top"/>
          </w:tcPr>
          <w:p>
            <w:pPr>
              <w:spacing w:line="360" w:lineRule="auto"/>
              <w:rPr>
                <w:rFonts w:hint="eastAsia"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int="eastAsia" w:hAnsi="宋体"/>
                <w:b/>
                <w:color w:val="auto"/>
                <w:sz w:val="21"/>
                <w:szCs w:val="21"/>
                <w:highlight w:val="none"/>
              </w:rPr>
            </w:pPr>
          </w:p>
        </w:tc>
        <w:tc>
          <w:tcPr>
            <w:tcW w:w="2033" w:type="dxa"/>
            <w:noWrap w:val="0"/>
            <w:vAlign w:val="top"/>
          </w:tcPr>
          <w:p>
            <w:pPr>
              <w:spacing w:line="360" w:lineRule="auto"/>
              <w:rPr>
                <w:rFonts w:hint="eastAsia" w:hAnsi="宋体"/>
                <w:b/>
                <w:color w:val="auto"/>
                <w:sz w:val="21"/>
                <w:szCs w:val="21"/>
                <w:highlight w:val="none"/>
              </w:rPr>
            </w:pPr>
          </w:p>
        </w:tc>
        <w:tc>
          <w:tcPr>
            <w:tcW w:w="2551" w:type="dxa"/>
            <w:noWrap w:val="0"/>
            <w:vAlign w:val="top"/>
          </w:tcPr>
          <w:p>
            <w:pPr>
              <w:spacing w:line="360" w:lineRule="auto"/>
              <w:rPr>
                <w:rFonts w:hint="eastAsia" w:hAnsi="宋体"/>
                <w:b/>
                <w:color w:val="auto"/>
                <w:sz w:val="21"/>
                <w:szCs w:val="21"/>
                <w:highlight w:val="none"/>
              </w:rPr>
            </w:pPr>
          </w:p>
        </w:tc>
        <w:tc>
          <w:tcPr>
            <w:tcW w:w="1418" w:type="dxa"/>
            <w:noWrap w:val="0"/>
            <w:vAlign w:val="top"/>
          </w:tcPr>
          <w:p>
            <w:pPr>
              <w:spacing w:line="360" w:lineRule="auto"/>
              <w:rPr>
                <w:rFonts w:hint="eastAsia"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color w:val="auto"/>
                <w:sz w:val="21"/>
                <w:szCs w:val="21"/>
                <w:highlight w:val="none"/>
              </w:rPr>
            </w:pPr>
          </w:p>
        </w:tc>
        <w:tc>
          <w:tcPr>
            <w:tcW w:w="2033" w:type="dxa"/>
            <w:noWrap w:val="0"/>
            <w:vAlign w:val="top"/>
          </w:tcPr>
          <w:p>
            <w:pPr>
              <w:spacing w:line="360" w:lineRule="auto"/>
              <w:rPr>
                <w:rFonts w:hAnsi="宋体"/>
                <w:b/>
                <w:color w:val="auto"/>
                <w:sz w:val="21"/>
                <w:szCs w:val="21"/>
                <w:highlight w:val="none"/>
              </w:rPr>
            </w:pPr>
          </w:p>
        </w:tc>
        <w:tc>
          <w:tcPr>
            <w:tcW w:w="2551" w:type="dxa"/>
            <w:noWrap w:val="0"/>
            <w:vAlign w:val="top"/>
          </w:tcPr>
          <w:p>
            <w:pPr>
              <w:spacing w:line="360" w:lineRule="auto"/>
              <w:rPr>
                <w:rFonts w:hAnsi="宋体"/>
                <w:b/>
                <w:color w:val="auto"/>
                <w:sz w:val="21"/>
                <w:szCs w:val="21"/>
                <w:highlight w:val="none"/>
              </w:rPr>
            </w:pPr>
          </w:p>
        </w:tc>
        <w:tc>
          <w:tcPr>
            <w:tcW w:w="1418" w:type="dxa"/>
            <w:noWrap w:val="0"/>
            <w:vAlign w:val="top"/>
          </w:tcPr>
          <w:p>
            <w:pPr>
              <w:spacing w:line="360" w:lineRule="auto"/>
              <w:rPr>
                <w:rFonts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Ansi="宋体"/>
                <w:b/>
                <w:color w:val="auto"/>
                <w:sz w:val="21"/>
                <w:szCs w:val="21"/>
                <w:highlight w:val="none"/>
              </w:rPr>
            </w:pPr>
          </w:p>
        </w:tc>
        <w:tc>
          <w:tcPr>
            <w:tcW w:w="2033" w:type="dxa"/>
            <w:noWrap w:val="0"/>
            <w:vAlign w:val="top"/>
          </w:tcPr>
          <w:p>
            <w:pPr>
              <w:spacing w:line="360" w:lineRule="auto"/>
              <w:rPr>
                <w:rFonts w:hAnsi="宋体"/>
                <w:b/>
                <w:color w:val="auto"/>
                <w:sz w:val="21"/>
                <w:szCs w:val="21"/>
                <w:highlight w:val="none"/>
              </w:rPr>
            </w:pPr>
          </w:p>
        </w:tc>
        <w:tc>
          <w:tcPr>
            <w:tcW w:w="2551" w:type="dxa"/>
            <w:noWrap w:val="0"/>
            <w:vAlign w:val="top"/>
          </w:tcPr>
          <w:p>
            <w:pPr>
              <w:spacing w:line="360" w:lineRule="auto"/>
              <w:rPr>
                <w:rFonts w:hAnsi="宋体"/>
                <w:b/>
                <w:color w:val="auto"/>
                <w:sz w:val="21"/>
                <w:szCs w:val="21"/>
                <w:highlight w:val="none"/>
              </w:rPr>
            </w:pPr>
          </w:p>
        </w:tc>
        <w:tc>
          <w:tcPr>
            <w:tcW w:w="1418" w:type="dxa"/>
            <w:noWrap w:val="0"/>
            <w:vAlign w:val="top"/>
          </w:tcPr>
          <w:p>
            <w:pPr>
              <w:spacing w:line="360" w:lineRule="auto"/>
              <w:rPr>
                <w:rFonts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noWrap w:val="0"/>
            <w:vAlign w:val="top"/>
          </w:tcPr>
          <w:p>
            <w:pPr>
              <w:spacing w:line="360" w:lineRule="auto"/>
              <w:rPr>
                <w:rFonts w:hint="eastAsia" w:hAnsi="宋体"/>
                <w:b/>
                <w:color w:val="auto"/>
                <w:sz w:val="21"/>
                <w:szCs w:val="21"/>
                <w:highlight w:val="none"/>
              </w:rPr>
            </w:pPr>
          </w:p>
        </w:tc>
        <w:tc>
          <w:tcPr>
            <w:tcW w:w="2033" w:type="dxa"/>
            <w:noWrap w:val="0"/>
            <w:vAlign w:val="top"/>
          </w:tcPr>
          <w:p>
            <w:pPr>
              <w:spacing w:line="360" w:lineRule="auto"/>
              <w:rPr>
                <w:rFonts w:hint="eastAsia" w:hAnsi="宋体"/>
                <w:b/>
                <w:color w:val="auto"/>
                <w:sz w:val="21"/>
                <w:szCs w:val="21"/>
                <w:highlight w:val="none"/>
              </w:rPr>
            </w:pPr>
          </w:p>
        </w:tc>
        <w:tc>
          <w:tcPr>
            <w:tcW w:w="2551" w:type="dxa"/>
            <w:noWrap w:val="0"/>
            <w:vAlign w:val="top"/>
          </w:tcPr>
          <w:p>
            <w:pPr>
              <w:spacing w:line="360" w:lineRule="auto"/>
              <w:rPr>
                <w:rFonts w:hint="eastAsia" w:hAnsi="宋体"/>
                <w:b/>
                <w:color w:val="auto"/>
                <w:sz w:val="21"/>
                <w:szCs w:val="21"/>
                <w:highlight w:val="none"/>
              </w:rPr>
            </w:pPr>
          </w:p>
        </w:tc>
        <w:tc>
          <w:tcPr>
            <w:tcW w:w="1418" w:type="dxa"/>
            <w:noWrap w:val="0"/>
            <w:vAlign w:val="top"/>
          </w:tcPr>
          <w:p>
            <w:pPr>
              <w:spacing w:line="360" w:lineRule="auto"/>
              <w:rPr>
                <w:rFonts w:hint="eastAsia" w:hAnsi="宋体"/>
                <w:b/>
                <w:color w:val="auto"/>
                <w:sz w:val="21"/>
                <w:szCs w:val="21"/>
                <w:highlight w:val="none"/>
              </w:rPr>
            </w:pPr>
          </w:p>
        </w:tc>
        <w:tc>
          <w:tcPr>
            <w:tcW w:w="851" w:type="dxa"/>
            <w:noWrap w:val="0"/>
            <w:vAlign w:val="top"/>
          </w:tcPr>
          <w:p>
            <w:pPr>
              <w:spacing w:line="360" w:lineRule="auto"/>
              <w:rPr>
                <w:rFonts w:hAnsi="宋体"/>
                <w:b/>
                <w:color w:val="auto"/>
                <w:sz w:val="21"/>
                <w:szCs w:val="21"/>
                <w:highlight w:val="none"/>
              </w:rPr>
            </w:pPr>
          </w:p>
        </w:tc>
      </w:tr>
    </w:tbl>
    <w:p>
      <w:pPr>
        <w:spacing w:line="360" w:lineRule="auto"/>
        <w:rPr>
          <w:rFonts w:hint="eastAsia" w:hAnsi="宋体"/>
          <w:color w:val="auto"/>
          <w:sz w:val="21"/>
          <w:szCs w:val="21"/>
          <w:highlight w:val="none"/>
        </w:rPr>
      </w:pPr>
    </w:p>
    <w:p>
      <w:pPr>
        <w:spacing w:line="360" w:lineRule="auto"/>
        <w:ind w:left="1052" w:leftChars="132" w:hanging="735" w:hangingChars="350"/>
        <w:rPr>
          <w:rFonts w:hint="eastAsia" w:hAnsi="宋体"/>
          <w:b/>
          <w:bCs/>
          <w:color w:val="auto"/>
          <w:sz w:val="21"/>
          <w:szCs w:val="21"/>
          <w:highlight w:val="none"/>
        </w:rPr>
      </w:pPr>
      <w:r>
        <w:rPr>
          <w:rFonts w:hint="eastAsia" w:hAnsi="宋体"/>
          <w:color w:val="auto"/>
          <w:sz w:val="21"/>
          <w:szCs w:val="21"/>
          <w:highlight w:val="none"/>
        </w:rPr>
        <w:t>注：</w:t>
      </w:r>
      <w:r>
        <w:rPr>
          <w:rFonts w:hint="eastAsia" w:hAnsi="宋体"/>
          <w:b/>
          <w:bCs/>
          <w:color w:val="auto"/>
          <w:sz w:val="21"/>
          <w:szCs w:val="21"/>
          <w:highlight w:val="none"/>
        </w:rPr>
        <w:t>1）投标人应对照招标文件“用户需求书”，如实地说明已对招标文件“用户需求书”内容的响应情况，并说明与招标文件的偏差和响应情况，若发现虚假填写，作无效投标处理。</w:t>
      </w:r>
    </w:p>
    <w:p>
      <w:pPr>
        <w:spacing w:line="360" w:lineRule="auto"/>
        <w:ind w:left="1055" w:leftChars="308" w:hanging="316" w:hangingChars="150"/>
        <w:rPr>
          <w:rFonts w:hint="eastAsia" w:hAnsi="宋体"/>
          <w:b/>
          <w:bCs/>
          <w:color w:val="auto"/>
          <w:sz w:val="21"/>
          <w:szCs w:val="21"/>
          <w:highlight w:val="none"/>
        </w:rPr>
      </w:pPr>
      <w:r>
        <w:rPr>
          <w:rFonts w:hint="eastAsia" w:hAnsi="宋体"/>
          <w:b/>
          <w:bCs/>
          <w:color w:val="auto"/>
          <w:sz w:val="21"/>
          <w:szCs w:val="21"/>
          <w:highlight w:val="none"/>
        </w:rPr>
        <w:t>2）不论出于何种原因此表未填写，投标人都被认为已清楚了解招标文件“用户需求书”的内容并对招标人所需的服务要求作全面响应，投标人必须承担完成“用户需求书”所描述内容的义务。</w:t>
      </w:r>
    </w:p>
    <w:p>
      <w:pPr>
        <w:spacing w:line="360" w:lineRule="auto"/>
        <w:ind w:left="1054" w:leftChars="308" w:hanging="315" w:hangingChars="150"/>
        <w:rPr>
          <w:rFonts w:hint="eastAsia" w:hAnsi="宋体"/>
          <w:color w:val="auto"/>
          <w:sz w:val="21"/>
          <w:szCs w:val="21"/>
          <w:highlight w:val="none"/>
        </w:rPr>
      </w:pPr>
      <w:r>
        <w:rPr>
          <w:rFonts w:hint="eastAsia" w:hAnsi="宋体"/>
          <w:color w:val="auto"/>
          <w:sz w:val="21"/>
          <w:szCs w:val="21"/>
          <w:highlight w:val="none"/>
        </w:rPr>
        <w:t>3）如投标人差异内容较多可另附页说明。</w:t>
      </w:r>
    </w:p>
    <w:p>
      <w:pPr>
        <w:spacing w:line="360" w:lineRule="auto"/>
        <w:ind w:left="1054" w:leftChars="308" w:hanging="315" w:hangingChars="150"/>
        <w:rPr>
          <w:rFonts w:hint="eastAsia" w:hAnsi="宋体"/>
          <w:color w:val="auto"/>
          <w:sz w:val="21"/>
          <w:szCs w:val="21"/>
          <w:highlight w:val="none"/>
        </w:rPr>
      </w:pPr>
      <w:r>
        <w:rPr>
          <w:rFonts w:hint="eastAsia" w:hAnsi="宋体"/>
          <w:color w:val="auto"/>
          <w:sz w:val="21"/>
          <w:szCs w:val="21"/>
          <w:highlight w:val="none"/>
        </w:rPr>
        <w:t>4）如投标人对“用户需求书”的条款全部响应的，也可以在表格下面用文字总括性的说明。</w:t>
      </w:r>
    </w:p>
    <w:p>
      <w:pPr>
        <w:spacing w:line="360" w:lineRule="auto"/>
        <w:ind w:left="1054" w:leftChars="308" w:hanging="315" w:hangingChars="150"/>
        <w:rPr>
          <w:rFonts w:hint="eastAsia" w:hAnsi="宋体"/>
          <w:color w:val="auto"/>
          <w:sz w:val="21"/>
          <w:szCs w:val="21"/>
          <w:highlight w:val="none"/>
        </w:rPr>
      </w:pPr>
      <w:r>
        <w:rPr>
          <w:rFonts w:hint="eastAsia" w:hAnsi="宋体"/>
          <w:color w:val="auto"/>
          <w:sz w:val="21"/>
          <w:szCs w:val="21"/>
          <w:highlight w:val="none"/>
        </w:rPr>
        <w:t>5）如有偏离，应在“偏离情况”栏内注明“有”，并在“说明”栏内予以说明；如无偏离，应在“偏离情况”栏内注明“无”。</w:t>
      </w:r>
    </w:p>
    <w:p>
      <w:pPr>
        <w:rPr>
          <w:color w:val="auto"/>
          <w:highlight w:val="none"/>
        </w:rPr>
      </w:pPr>
      <w:r>
        <w:rPr>
          <w:rFonts w:hint="eastAsia"/>
          <w:color w:val="auto"/>
          <w:sz w:val="21"/>
          <w:szCs w:val="21"/>
          <w:highlight w:val="none"/>
        </w:rPr>
        <w:t xml:space="preserve">       </w:t>
      </w: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rPr>
      </w:pPr>
    </w:p>
    <w:p>
      <w:pPr>
        <w:snapToGrid w:val="0"/>
        <w:spacing w:line="360" w:lineRule="auto"/>
        <w:rPr>
          <w:rFonts w:hint="eastAsia" w:hAnsi="宋体"/>
          <w:color w:val="auto"/>
          <w:sz w:val="21"/>
          <w:szCs w:val="21"/>
          <w:highlight w:val="none"/>
          <w:u w:val="single"/>
        </w:rPr>
      </w:pPr>
      <w:r>
        <w:rPr>
          <w:rFonts w:hint="eastAsia" w:hAnsi="宋体"/>
          <w:color w:val="auto"/>
          <w:sz w:val="21"/>
          <w:szCs w:val="21"/>
          <w:highlight w:val="none"/>
        </w:rPr>
        <w:t>投标人名称（盖章）：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投标人法定代表人或其授权代表（签名或盖私章）：</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日期：</w:t>
      </w:r>
    </w:p>
    <w:p>
      <w:pPr>
        <w:snapToGrid w:val="0"/>
        <w:spacing w:line="360" w:lineRule="auto"/>
        <w:rPr>
          <w:rFonts w:hint="eastAsia" w:hAnsi="宋体"/>
          <w:color w:val="auto"/>
          <w:sz w:val="21"/>
          <w:szCs w:val="21"/>
          <w:highlight w:val="none"/>
        </w:rPr>
      </w:pPr>
      <w:r>
        <w:rPr>
          <w:rFonts w:hint="eastAsia" w:hAnsi="宋体"/>
          <w:color w:val="auto"/>
          <w:sz w:val="21"/>
          <w:szCs w:val="21"/>
          <w:highlight w:val="none"/>
        </w:rPr>
        <w:t xml:space="preserve"> </w:t>
      </w:r>
    </w:p>
    <w:p>
      <w:pPr>
        <w:snapToGrid w:val="0"/>
        <w:spacing w:line="360" w:lineRule="auto"/>
        <w:jc w:val="center"/>
        <w:rPr>
          <w:rFonts w:hint="eastAsia" w:hAnsi="宋体"/>
          <w:b/>
          <w:color w:val="auto"/>
          <w:sz w:val="28"/>
          <w:szCs w:val="28"/>
          <w:highlight w:val="none"/>
        </w:rPr>
      </w:pPr>
    </w:p>
    <w:p>
      <w:pPr>
        <w:snapToGrid w:val="0"/>
        <w:spacing w:line="360" w:lineRule="auto"/>
        <w:jc w:val="center"/>
        <w:rPr>
          <w:rFonts w:hint="eastAsia" w:hAnsi="宋体"/>
          <w:b/>
          <w:color w:val="auto"/>
          <w:sz w:val="28"/>
          <w:szCs w:val="28"/>
          <w:highlight w:val="none"/>
        </w:rPr>
      </w:pPr>
    </w:p>
    <w:p>
      <w:pPr>
        <w:snapToGrid w:val="0"/>
        <w:spacing w:line="360" w:lineRule="auto"/>
        <w:jc w:val="center"/>
        <w:rPr>
          <w:rFonts w:hint="eastAsia" w:hAnsi="宋体"/>
          <w:b/>
          <w:color w:val="auto"/>
          <w:sz w:val="28"/>
          <w:szCs w:val="28"/>
          <w:highlight w:val="none"/>
        </w:rPr>
      </w:pPr>
    </w:p>
    <w:p>
      <w:pPr>
        <w:snapToGrid w:val="0"/>
        <w:spacing w:line="360" w:lineRule="auto"/>
        <w:jc w:val="center"/>
        <w:rPr>
          <w:rFonts w:hint="eastAsia" w:hAnsi="宋体"/>
          <w:b/>
          <w:color w:val="auto"/>
          <w:sz w:val="28"/>
          <w:szCs w:val="28"/>
          <w:highlight w:val="none"/>
        </w:rPr>
      </w:pPr>
    </w:p>
    <w:p>
      <w:pPr>
        <w:snapToGrid w:val="0"/>
        <w:spacing w:line="360" w:lineRule="auto"/>
        <w:jc w:val="center"/>
        <w:rPr>
          <w:rFonts w:hint="eastAsia" w:hAnsi="宋体"/>
          <w:b/>
          <w:color w:val="auto"/>
          <w:sz w:val="28"/>
          <w:szCs w:val="28"/>
          <w:highlight w:val="none"/>
        </w:rPr>
      </w:pPr>
    </w:p>
    <w:p>
      <w:pPr>
        <w:pStyle w:val="4"/>
        <w:numPr>
          <w:ilvl w:val="1"/>
          <w:numId w:val="31"/>
        </w:numPr>
        <w:spacing w:line="360" w:lineRule="auto"/>
        <w:ind w:left="0" w:firstLine="0"/>
        <w:jc w:val="center"/>
        <w:rPr>
          <w:rFonts w:hint="eastAsia"/>
          <w:b/>
          <w:color w:val="auto"/>
          <w:sz w:val="21"/>
          <w:szCs w:val="22"/>
          <w:highlight w:val="none"/>
        </w:rPr>
      </w:pPr>
      <w:bookmarkStart w:id="288" w:name="_Toc6444"/>
      <w:bookmarkStart w:id="289" w:name="_Toc3716"/>
      <w:bookmarkStart w:id="290" w:name="_Toc17967"/>
      <w:bookmarkStart w:id="291" w:name="_Toc23749"/>
      <w:bookmarkStart w:id="292" w:name="_Toc20445"/>
      <w:bookmarkStart w:id="293" w:name="_Toc10048"/>
      <w:bookmarkStart w:id="294" w:name="_Toc12008"/>
      <w:bookmarkStart w:id="295" w:name="_Toc7508"/>
      <w:bookmarkStart w:id="296" w:name="_Toc6042"/>
      <w:bookmarkStart w:id="297" w:name="_Toc26836"/>
      <w:bookmarkStart w:id="298" w:name="_Toc642"/>
      <w:bookmarkStart w:id="299" w:name="_Toc24233"/>
      <w:bookmarkStart w:id="300" w:name="_Toc9540"/>
      <w:r>
        <w:rPr>
          <w:rFonts w:hint="eastAsia"/>
          <w:b/>
          <w:color w:val="auto"/>
          <w:sz w:val="21"/>
          <w:szCs w:val="22"/>
          <w:highlight w:val="none"/>
        </w:rPr>
        <w:t>拟安排本项目技术人员情况表</w:t>
      </w:r>
      <w:bookmarkEnd w:id="288"/>
      <w:bookmarkEnd w:id="289"/>
      <w:bookmarkEnd w:id="290"/>
      <w:bookmarkEnd w:id="291"/>
      <w:bookmarkEnd w:id="292"/>
      <w:bookmarkEnd w:id="293"/>
      <w:bookmarkEnd w:id="294"/>
      <w:bookmarkEnd w:id="295"/>
      <w:bookmarkEnd w:id="296"/>
      <w:bookmarkEnd w:id="297"/>
      <w:bookmarkEnd w:id="298"/>
      <w:bookmarkEnd w:id="299"/>
    </w:p>
    <w:p>
      <w:pPr>
        <w:pStyle w:val="26"/>
        <w:spacing w:line="360" w:lineRule="auto"/>
        <w:ind w:firstLine="420"/>
        <w:jc w:val="center"/>
        <w:rPr>
          <w:rFonts w:hint="eastAsia" w:hAnsi="宋体"/>
          <w:b/>
          <w:color w:val="auto"/>
          <w:sz w:val="28"/>
          <w:szCs w:val="28"/>
          <w:highlight w:val="none"/>
        </w:rPr>
      </w:pPr>
    </w:p>
    <w:p>
      <w:pPr>
        <w:pStyle w:val="26"/>
        <w:spacing w:line="360" w:lineRule="auto"/>
        <w:ind w:firstLine="420"/>
        <w:jc w:val="center"/>
        <w:rPr>
          <w:rFonts w:hint="eastAsia" w:hAnsi="宋体"/>
          <w:color w:val="auto"/>
          <w:sz w:val="24"/>
          <w:szCs w:val="24"/>
          <w:highlight w:val="none"/>
        </w:rPr>
      </w:pPr>
      <w:r>
        <w:rPr>
          <w:rFonts w:hint="eastAsia" w:hAnsi="宋体"/>
          <w:b/>
          <w:color w:val="auto"/>
          <w:sz w:val="24"/>
          <w:szCs w:val="24"/>
          <w:highlight w:val="none"/>
        </w:rPr>
        <w:t>项目负责人管理经验和资质情况表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48"/>
        <w:gridCol w:w="1299"/>
        <w:gridCol w:w="1357"/>
        <w:gridCol w:w="2247"/>
        <w:gridCol w:w="128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姓名</w:t>
            </w:r>
          </w:p>
        </w:tc>
        <w:tc>
          <w:tcPr>
            <w:tcW w:w="1847" w:type="dxa"/>
            <w:gridSpan w:val="2"/>
            <w:noWrap w:val="0"/>
            <w:vAlign w:val="center"/>
          </w:tcPr>
          <w:p>
            <w:pPr>
              <w:pStyle w:val="26"/>
              <w:spacing w:line="360" w:lineRule="auto"/>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性别</w:t>
            </w:r>
          </w:p>
        </w:tc>
        <w:tc>
          <w:tcPr>
            <w:tcW w:w="2247" w:type="dxa"/>
            <w:noWrap w:val="0"/>
            <w:vAlign w:val="center"/>
          </w:tcPr>
          <w:p>
            <w:pPr>
              <w:pStyle w:val="26"/>
              <w:spacing w:line="360" w:lineRule="auto"/>
              <w:rPr>
                <w:rFonts w:hint="eastAsia" w:hAnsi="宋体"/>
                <w:color w:val="auto"/>
                <w:szCs w:val="24"/>
                <w:highlight w:val="none"/>
              </w:rPr>
            </w:pPr>
          </w:p>
        </w:tc>
        <w:tc>
          <w:tcPr>
            <w:tcW w:w="128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年龄</w:t>
            </w:r>
          </w:p>
        </w:tc>
        <w:tc>
          <w:tcPr>
            <w:tcW w:w="1027" w:type="dxa"/>
            <w:noWrap w:val="0"/>
            <w:vAlign w:val="center"/>
          </w:tcPr>
          <w:p>
            <w:pPr>
              <w:pStyle w:val="26"/>
              <w:spacing w:line="360" w:lineRule="auto"/>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职务</w:t>
            </w:r>
          </w:p>
        </w:tc>
        <w:tc>
          <w:tcPr>
            <w:tcW w:w="1847" w:type="dxa"/>
            <w:gridSpan w:val="2"/>
            <w:noWrap w:val="0"/>
            <w:vAlign w:val="center"/>
          </w:tcPr>
          <w:p>
            <w:pPr>
              <w:pStyle w:val="26"/>
              <w:spacing w:line="360" w:lineRule="auto"/>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职称</w:t>
            </w:r>
          </w:p>
        </w:tc>
        <w:tc>
          <w:tcPr>
            <w:tcW w:w="2247" w:type="dxa"/>
            <w:noWrap w:val="0"/>
            <w:vAlign w:val="center"/>
          </w:tcPr>
          <w:p>
            <w:pPr>
              <w:pStyle w:val="26"/>
              <w:spacing w:line="360" w:lineRule="auto"/>
              <w:rPr>
                <w:rFonts w:hint="eastAsia" w:hAnsi="宋体"/>
                <w:color w:val="auto"/>
                <w:szCs w:val="24"/>
                <w:highlight w:val="none"/>
              </w:rPr>
            </w:pPr>
          </w:p>
        </w:tc>
        <w:tc>
          <w:tcPr>
            <w:tcW w:w="128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学历</w:t>
            </w:r>
          </w:p>
        </w:tc>
        <w:tc>
          <w:tcPr>
            <w:tcW w:w="1027" w:type="dxa"/>
            <w:noWrap w:val="0"/>
            <w:vAlign w:val="center"/>
          </w:tcPr>
          <w:p>
            <w:pPr>
              <w:pStyle w:val="26"/>
              <w:spacing w:line="360" w:lineRule="auto"/>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办公电话</w:t>
            </w:r>
          </w:p>
        </w:tc>
        <w:tc>
          <w:tcPr>
            <w:tcW w:w="1847" w:type="dxa"/>
            <w:gridSpan w:val="2"/>
            <w:noWrap w:val="0"/>
            <w:vAlign w:val="center"/>
          </w:tcPr>
          <w:p>
            <w:pPr>
              <w:pStyle w:val="26"/>
              <w:spacing w:line="360" w:lineRule="auto"/>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住宅电话</w:t>
            </w:r>
          </w:p>
        </w:tc>
        <w:tc>
          <w:tcPr>
            <w:tcW w:w="2247" w:type="dxa"/>
            <w:noWrap w:val="0"/>
            <w:vAlign w:val="center"/>
          </w:tcPr>
          <w:p>
            <w:pPr>
              <w:pStyle w:val="26"/>
              <w:spacing w:line="360" w:lineRule="auto"/>
              <w:rPr>
                <w:rFonts w:hint="eastAsia" w:hAnsi="宋体"/>
                <w:color w:val="auto"/>
                <w:szCs w:val="24"/>
                <w:highlight w:val="none"/>
              </w:rPr>
            </w:pPr>
          </w:p>
        </w:tc>
        <w:tc>
          <w:tcPr>
            <w:tcW w:w="128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移动电话</w:t>
            </w:r>
          </w:p>
        </w:tc>
        <w:tc>
          <w:tcPr>
            <w:tcW w:w="1027" w:type="dxa"/>
            <w:noWrap w:val="0"/>
            <w:vAlign w:val="center"/>
          </w:tcPr>
          <w:p>
            <w:pPr>
              <w:pStyle w:val="26"/>
              <w:spacing w:line="360" w:lineRule="auto"/>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参加工作时间</w:t>
            </w:r>
          </w:p>
        </w:tc>
        <w:tc>
          <w:tcPr>
            <w:tcW w:w="2656" w:type="dxa"/>
            <w:gridSpan w:val="2"/>
            <w:noWrap w:val="0"/>
            <w:vAlign w:val="center"/>
          </w:tcPr>
          <w:p>
            <w:pPr>
              <w:pStyle w:val="26"/>
              <w:spacing w:line="360" w:lineRule="auto"/>
              <w:jc w:val="center"/>
              <w:rPr>
                <w:rFonts w:hint="eastAsia" w:hAnsi="宋体"/>
                <w:color w:val="auto"/>
                <w:szCs w:val="24"/>
                <w:highlight w:val="none"/>
              </w:rPr>
            </w:pPr>
          </w:p>
        </w:tc>
        <w:tc>
          <w:tcPr>
            <w:tcW w:w="224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从事该行业年限</w:t>
            </w:r>
          </w:p>
        </w:tc>
        <w:tc>
          <w:tcPr>
            <w:tcW w:w="2314" w:type="dxa"/>
            <w:gridSpan w:val="2"/>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具有认证资格</w:t>
            </w:r>
          </w:p>
        </w:tc>
        <w:tc>
          <w:tcPr>
            <w:tcW w:w="7217" w:type="dxa"/>
            <w:gridSpan w:val="5"/>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7"/>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使用单位</w:t>
            </w:r>
          </w:p>
        </w:tc>
        <w:tc>
          <w:tcPr>
            <w:tcW w:w="1299"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项目名称</w:t>
            </w:r>
          </w:p>
        </w:tc>
        <w:tc>
          <w:tcPr>
            <w:tcW w:w="135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规模</w:t>
            </w:r>
          </w:p>
        </w:tc>
        <w:tc>
          <w:tcPr>
            <w:tcW w:w="224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竣工日期</w:t>
            </w:r>
          </w:p>
        </w:tc>
        <w:tc>
          <w:tcPr>
            <w:tcW w:w="2314" w:type="dxa"/>
            <w:gridSpan w:val="2"/>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p>
        </w:tc>
        <w:tc>
          <w:tcPr>
            <w:tcW w:w="1299" w:type="dxa"/>
            <w:noWrap w:val="0"/>
            <w:vAlign w:val="center"/>
          </w:tcPr>
          <w:p>
            <w:pPr>
              <w:pStyle w:val="26"/>
              <w:spacing w:line="360" w:lineRule="auto"/>
              <w:jc w:val="center"/>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p>
        </w:tc>
        <w:tc>
          <w:tcPr>
            <w:tcW w:w="2247" w:type="dxa"/>
            <w:noWrap w:val="0"/>
            <w:vAlign w:val="center"/>
          </w:tcPr>
          <w:p>
            <w:pPr>
              <w:pStyle w:val="26"/>
              <w:spacing w:line="360" w:lineRule="auto"/>
              <w:jc w:val="center"/>
              <w:rPr>
                <w:rFonts w:hint="eastAsia" w:hAnsi="宋体"/>
                <w:color w:val="auto"/>
                <w:szCs w:val="24"/>
                <w:highlight w:val="none"/>
              </w:rPr>
            </w:pPr>
          </w:p>
        </w:tc>
        <w:tc>
          <w:tcPr>
            <w:tcW w:w="2314" w:type="dxa"/>
            <w:gridSpan w:val="2"/>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p>
        </w:tc>
        <w:tc>
          <w:tcPr>
            <w:tcW w:w="1299" w:type="dxa"/>
            <w:noWrap w:val="0"/>
            <w:vAlign w:val="center"/>
          </w:tcPr>
          <w:p>
            <w:pPr>
              <w:pStyle w:val="26"/>
              <w:spacing w:line="360" w:lineRule="auto"/>
              <w:jc w:val="center"/>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p>
        </w:tc>
        <w:tc>
          <w:tcPr>
            <w:tcW w:w="2247" w:type="dxa"/>
            <w:noWrap w:val="0"/>
            <w:vAlign w:val="center"/>
          </w:tcPr>
          <w:p>
            <w:pPr>
              <w:pStyle w:val="26"/>
              <w:spacing w:line="360" w:lineRule="auto"/>
              <w:jc w:val="center"/>
              <w:rPr>
                <w:rFonts w:hint="eastAsia" w:hAnsi="宋体"/>
                <w:color w:val="auto"/>
                <w:szCs w:val="24"/>
                <w:highlight w:val="none"/>
              </w:rPr>
            </w:pPr>
          </w:p>
        </w:tc>
        <w:tc>
          <w:tcPr>
            <w:tcW w:w="2314" w:type="dxa"/>
            <w:gridSpan w:val="2"/>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noWrap w:val="0"/>
            <w:vAlign w:val="center"/>
          </w:tcPr>
          <w:p>
            <w:pPr>
              <w:pStyle w:val="26"/>
              <w:spacing w:line="360" w:lineRule="auto"/>
              <w:jc w:val="center"/>
              <w:rPr>
                <w:rFonts w:hint="eastAsia" w:hAnsi="宋体"/>
                <w:color w:val="auto"/>
                <w:szCs w:val="24"/>
                <w:highlight w:val="none"/>
              </w:rPr>
            </w:pPr>
          </w:p>
        </w:tc>
        <w:tc>
          <w:tcPr>
            <w:tcW w:w="1299" w:type="dxa"/>
            <w:noWrap w:val="0"/>
            <w:vAlign w:val="center"/>
          </w:tcPr>
          <w:p>
            <w:pPr>
              <w:pStyle w:val="26"/>
              <w:spacing w:line="360" w:lineRule="auto"/>
              <w:jc w:val="center"/>
              <w:rPr>
                <w:rFonts w:hint="eastAsia" w:hAnsi="宋体"/>
                <w:color w:val="auto"/>
                <w:szCs w:val="24"/>
                <w:highlight w:val="none"/>
              </w:rPr>
            </w:pPr>
          </w:p>
        </w:tc>
        <w:tc>
          <w:tcPr>
            <w:tcW w:w="1357" w:type="dxa"/>
            <w:noWrap w:val="0"/>
            <w:vAlign w:val="center"/>
          </w:tcPr>
          <w:p>
            <w:pPr>
              <w:pStyle w:val="26"/>
              <w:spacing w:line="360" w:lineRule="auto"/>
              <w:jc w:val="center"/>
              <w:rPr>
                <w:rFonts w:hint="eastAsia" w:hAnsi="宋体"/>
                <w:color w:val="auto"/>
                <w:szCs w:val="24"/>
                <w:highlight w:val="none"/>
              </w:rPr>
            </w:pPr>
          </w:p>
        </w:tc>
        <w:tc>
          <w:tcPr>
            <w:tcW w:w="2247" w:type="dxa"/>
            <w:noWrap w:val="0"/>
            <w:vAlign w:val="center"/>
          </w:tcPr>
          <w:p>
            <w:pPr>
              <w:pStyle w:val="26"/>
              <w:spacing w:line="360" w:lineRule="auto"/>
              <w:jc w:val="center"/>
              <w:rPr>
                <w:rFonts w:hint="eastAsia" w:hAnsi="宋体"/>
                <w:color w:val="auto"/>
                <w:szCs w:val="24"/>
                <w:highlight w:val="none"/>
              </w:rPr>
            </w:pPr>
          </w:p>
        </w:tc>
        <w:tc>
          <w:tcPr>
            <w:tcW w:w="2314" w:type="dxa"/>
            <w:gridSpan w:val="2"/>
            <w:tcBorders>
              <w:top w:val="nil"/>
            </w:tcBorders>
            <w:noWrap w:val="0"/>
            <w:vAlign w:val="center"/>
          </w:tcPr>
          <w:p>
            <w:pPr>
              <w:pStyle w:val="26"/>
              <w:spacing w:line="360" w:lineRule="auto"/>
              <w:jc w:val="center"/>
              <w:rPr>
                <w:rFonts w:hint="eastAsia" w:hAnsi="宋体"/>
                <w:color w:val="auto"/>
                <w:szCs w:val="24"/>
                <w:highlight w:val="none"/>
              </w:rPr>
            </w:pPr>
          </w:p>
        </w:tc>
      </w:tr>
    </w:tbl>
    <w:p>
      <w:pPr>
        <w:pStyle w:val="26"/>
        <w:spacing w:line="360" w:lineRule="auto"/>
        <w:rPr>
          <w:rFonts w:hint="eastAsia" w:hAnsi="宋体"/>
          <w:color w:val="auto"/>
          <w:szCs w:val="21"/>
          <w:highlight w:val="none"/>
        </w:rPr>
      </w:pPr>
      <w:r>
        <w:rPr>
          <w:rFonts w:hint="eastAsia" w:hAnsi="宋体"/>
          <w:color w:val="auto"/>
          <w:szCs w:val="21"/>
          <w:highlight w:val="none"/>
        </w:rPr>
        <w:t>注：根据评分标准要求提供相应材料。</w:t>
      </w:r>
    </w:p>
    <w:p>
      <w:pPr>
        <w:pStyle w:val="26"/>
        <w:spacing w:line="360" w:lineRule="auto"/>
        <w:rPr>
          <w:rFonts w:hint="eastAsia" w:hAnsi="宋体"/>
          <w:color w:val="auto"/>
          <w:sz w:val="24"/>
          <w:highlight w:val="none"/>
        </w:rPr>
      </w:pPr>
    </w:p>
    <w:p>
      <w:pPr>
        <w:pStyle w:val="26"/>
        <w:spacing w:line="360" w:lineRule="auto"/>
        <w:ind w:firstLine="420"/>
        <w:jc w:val="center"/>
        <w:rPr>
          <w:rFonts w:hint="eastAsia" w:hAnsi="宋体"/>
          <w:b/>
          <w:color w:val="auto"/>
          <w:sz w:val="24"/>
          <w:szCs w:val="24"/>
          <w:highlight w:val="none"/>
        </w:rPr>
      </w:pPr>
      <w:r>
        <w:rPr>
          <w:rFonts w:hint="eastAsia" w:hAnsi="宋体"/>
          <w:b/>
          <w:color w:val="auto"/>
          <w:sz w:val="24"/>
          <w:szCs w:val="24"/>
          <w:highlight w:val="none"/>
        </w:rPr>
        <w:t>拟派驻本项目技术人员一览表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61"/>
        <w:gridCol w:w="872"/>
        <w:gridCol w:w="867"/>
        <w:gridCol w:w="868"/>
        <w:gridCol w:w="868"/>
        <w:gridCol w:w="870"/>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序号</w:t>
            </w:r>
          </w:p>
        </w:tc>
        <w:tc>
          <w:tcPr>
            <w:tcW w:w="1161"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姓名</w:t>
            </w:r>
          </w:p>
        </w:tc>
        <w:tc>
          <w:tcPr>
            <w:tcW w:w="872"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性别</w:t>
            </w:r>
          </w:p>
        </w:tc>
        <w:tc>
          <w:tcPr>
            <w:tcW w:w="86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年龄</w:t>
            </w:r>
          </w:p>
        </w:tc>
        <w:tc>
          <w:tcPr>
            <w:tcW w:w="868"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职称</w:t>
            </w:r>
          </w:p>
        </w:tc>
        <w:tc>
          <w:tcPr>
            <w:tcW w:w="868"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学历</w:t>
            </w:r>
          </w:p>
        </w:tc>
        <w:tc>
          <w:tcPr>
            <w:tcW w:w="870"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专业</w:t>
            </w:r>
          </w:p>
        </w:tc>
        <w:tc>
          <w:tcPr>
            <w:tcW w:w="1421"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经验年限</w:t>
            </w:r>
          </w:p>
        </w:tc>
        <w:tc>
          <w:tcPr>
            <w:tcW w:w="1417" w:type="dxa"/>
            <w:noWrap w:val="0"/>
            <w:vAlign w:val="center"/>
          </w:tcPr>
          <w:p>
            <w:pPr>
              <w:pStyle w:val="26"/>
              <w:spacing w:line="360" w:lineRule="auto"/>
              <w:jc w:val="center"/>
              <w:rPr>
                <w:rFonts w:hint="eastAsia" w:hAnsi="宋体"/>
                <w:color w:val="auto"/>
                <w:szCs w:val="24"/>
                <w:highlight w:val="none"/>
              </w:rPr>
            </w:pPr>
            <w:r>
              <w:rPr>
                <w:rFonts w:hint="eastAsia" w:hAnsi="宋体"/>
                <w:color w:val="auto"/>
                <w:szCs w:val="24"/>
                <w:highlight w:val="none"/>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pStyle w:val="26"/>
              <w:spacing w:line="360" w:lineRule="auto"/>
              <w:jc w:val="center"/>
              <w:rPr>
                <w:rFonts w:hint="eastAsia" w:hAnsi="宋体"/>
                <w:color w:val="auto"/>
                <w:szCs w:val="24"/>
                <w:highlight w:val="none"/>
              </w:rPr>
            </w:pPr>
          </w:p>
        </w:tc>
        <w:tc>
          <w:tcPr>
            <w:tcW w:w="1161" w:type="dxa"/>
            <w:noWrap w:val="0"/>
            <w:vAlign w:val="center"/>
          </w:tcPr>
          <w:p>
            <w:pPr>
              <w:pStyle w:val="26"/>
              <w:spacing w:line="360" w:lineRule="auto"/>
              <w:jc w:val="center"/>
              <w:rPr>
                <w:rFonts w:hint="eastAsia" w:hAnsi="宋体"/>
                <w:color w:val="auto"/>
                <w:szCs w:val="24"/>
                <w:highlight w:val="none"/>
              </w:rPr>
            </w:pPr>
          </w:p>
        </w:tc>
        <w:tc>
          <w:tcPr>
            <w:tcW w:w="872" w:type="dxa"/>
            <w:noWrap w:val="0"/>
            <w:vAlign w:val="center"/>
          </w:tcPr>
          <w:p>
            <w:pPr>
              <w:pStyle w:val="26"/>
              <w:spacing w:line="360" w:lineRule="auto"/>
              <w:jc w:val="center"/>
              <w:rPr>
                <w:rFonts w:hint="eastAsia" w:hAnsi="宋体"/>
                <w:color w:val="auto"/>
                <w:szCs w:val="24"/>
                <w:highlight w:val="none"/>
              </w:rPr>
            </w:pPr>
          </w:p>
        </w:tc>
        <w:tc>
          <w:tcPr>
            <w:tcW w:w="867"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68" w:type="dxa"/>
            <w:noWrap w:val="0"/>
            <w:vAlign w:val="center"/>
          </w:tcPr>
          <w:p>
            <w:pPr>
              <w:pStyle w:val="26"/>
              <w:spacing w:line="360" w:lineRule="auto"/>
              <w:jc w:val="center"/>
              <w:rPr>
                <w:rFonts w:hint="eastAsia" w:hAnsi="宋体"/>
                <w:color w:val="auto"/>
                <w:szCs w:val="24"/>
                <w:highlight w:val="none"/>
              </w:rPr>
            </w:pPr>
          </w:p>
        </w:tc>
        <w:tc>
          <w:tcPr>
            <w:tcW w:w="870" w:type="dxa"/>
            <w:noWrap w:val="0"/>
            <w:vAlign w:val="center"/>
          </w:tcPr>
          <w:p>
            <w:pPr>
              <w:pStyle w:val="26"/>
              <w:spacing w:line="360" w:lineRule="auto"/>
              <w:jc w:val="center"/>
              <w:rPr>
                <w:rFonts w:hint="eastAsia" w:hAnsi="宋体"/>
                <w:color w:val="auto"/>
                <w:szCs w:val="24"/>
                <w:highlight w:val="none"/>
              </w:rPr>
            </w:pPr>
          </w:p>
        </w:tc>
        <w:tc>
          <w:tcPr>
            <w:tcW w:w="1421" w:type="dxa"/>
            <w:noWrap w:val="0"/>
            <w:vAlign w:val="center"/>
          </w:tcPr>
          <w:p>
            <w:pPr>
              <w:pStyle w:val="26"/>
              <w:spacing w:line="360" w:lineRule="auto"/>
              <w:jc w:val="center"/>
              <w:rPr>
                <w:rFonts w:hint="eastAsia" w:hAnsi="宋体"/>
                <w:color w:val="auto"/>
                <w:szCs w:val="24"/>
                <w:highlight w:val="none"/>
              </w:rPr>
            </w:pPr>
          </w:p>
        </w:tc>
        <w:tc>
          <w:tcPr>
            <w:tcW w:w="1417" w:type="dxa"/>
            <w:noWrap w:val="0"/>
            <w:vAlign w:val="center"/>
          </w:tcPr>
          <w:p>
            <w:pPr>
              <w:pStyle w:val="26"/>
              <w:spacing w:line="360" w:lineRule="auto"/>
              <w:jc w:val="center"/>
              <w:rPr>
                <w:rFonts w:hint="eastAsia" w:hAnsi="宋体"/>
                <w:color w:val="auto"/>
                <w:szCs w:val="24"/>
                <w:highlight w:val="none"/>
              </w:rPr>
            </w:pPr>
          </w:p>
        </w:tc>
      </w:tr>
    </w:tbl>
    <w:p>
      <w:pPr>
        <w:pStyle w:val="26"/>
        <w:spacing w:line="360" w:lineRule="auto"/>
        <w:rPr>
          <w:rFonts w:hint="eastAsia" w:hAnsi="宋体"/>
          <w:b/>
          <w:color w:val="auto"/>
          <w:highlight w:val="none"/>
        </w:rPr>
      </w:pPr>
      <w:r>
        <w:rPr>
          <w:rFonts w:hint="eastAsia" w:hAnsi="宋体"/>
          <w:color w:val="auto"/>
          <w:szCs w:val="21"/>
          <w:highlight w:val="none"/>
        </w:rPr>
        <w:t>注：根据评分标准要求提供相应材料。</w:t>
      </w:r>
    </w:p>
    <w:p>
      <w:pPr>
        <w:pStyle w:val="26"/>
        <w:spacing w:line="360" w:lineRule="auto"/>
        <w:ind w:firstLine="420"/>
        <w:rPr>
          <w:rFonts w:hint="eastAsia" w:hAnsi="宋体"/>
          <w:color w:val="auto"/>
          <w:highlight w:val="none"/>
        </w:rPr>
      </w:pPr>
    </w:p>
    <w:p>
      <w:pPr>
        <w:pStyle w:val="4"/>
        <w:pageBreakBefore/>
        <w:numPr>
          <w:ilvl w:val="1"/>
          <w:numId w:val="31"/>
        </w:numPr>
        <w:spacing w:line="360" w:lineRule="auto"/>
        <w:ind w:left="0" w:firstLine="0"/>
        <w:jc w:val="center"/>
        <w:rPr>
          <w:rFonts w:hint="eastAsia"/>
          <w:b/>
          <w:color w:val="auto"/>
          <w:highlight w:val="none"/>
        </w:rPr>
      </w:pPr>
      <w:bookmarkStart w:id="301" w:name="_Toc9579"/>
      <w:bookmarkStart w:id="302" w:name="_Toc5627"/>
      <w:bookmarkStart w:id="303" w:name="_Toc15167"/>
      <w:bookmarkStart w:id="304" w:name="_Toc20064"/>
      <w:bookmarkStart w:id="305" w:name="_Toc31683"/>
      <w:bookmarkStart w:id="306" w:name="_Toc28796"/>
      <w:bookmarkStart w:id="307" w:name="_Toc28884"/>
      <w:bookmarkStart w:id="308" w:name="_Toc12685"/>
      <w:bookmarkStart w:id="309" w:name="_Toc15287"/>
      <w:bookmarkStart w:id="310" w:name="_Toc1852"/>
      <w:bookmarkStart w:id="311" w:name="_Toc25949"/>
      <w:r>
        <w:rPr>
          <w:rFonts w:hint="eastAsia"/>
          <w:b/>
          <w:color w:val="auto"/>
          <w:highlight w:val="none"/>
        </w:rPr>
        <w:t>技术方案</w:t>
      </w:r>
      <w:bookmarkEnd w:id="300"/>
      <w:bookmarkEnd w:id="301"/>
      <w:bookmarkEnd w:id="302"/>
      <w:bookmarkEnd w:id="303"/>
      <w:bookmarkEnd w:id="304"/>
      <w:bookmarkEnd w:id="305"/>
      <w:bookmarkEnd w:id="306"/>
      <w:bookmarkEnd w:id="307"/>
      <w:bookmarkEnd w:id="308"/>
      <w:bookmarkEnd w:id="309"/>
      <w:bookmarkEnd w:id="310"/>
      <w:bookmarkEnd w:id="311"/>
    </w:p>
    <w:p>
      <w:pPr>
        <w:snapToGrid w:val="0"/>
        <w:spacing w:line="360" w:lineRule="auto"/>
        <w:rPr>
          <w:rFonts w:hint="eastAsia" w:hAnsi="宋体"/>
          <w:color w:val="auto"/>
          <w:sz w:val="21"/>
          <w:szCs w:val="21"/>
          <w:highlight w:val="none"/>
        </w:rPr>
      </w:pPr>
    </w:p>
    <w:p>
      <w:pPr>
        <w:snapToGrid w:val="0"/>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投标人根据用户需求书编写。</w:t>
      </w:r>
    </w:p>
    <w:p>
      <w:pPr>
        <w:snapToGrid w:val="0"/>
        <w:spacing w:line="360" w:lineRule="auto"/>
        <w:rPr>
          <w:rFonts w:hint="eastAsia" w:hAnsi="宋体"/>
          <w:color w:val="auto"/>
          <w:sz w:val="21"/>
          <w:szCs w:val="21"/>
          <w:highlight w:val="none"/>
        </w:rPr>
      </w:pPr>
    </w:p>
    <w:p>
      <w:pPr>
        <w:pStyle w:val="4"/>
        <w:pageBreakBefore/>
        <w:numPr>
          <w:ilvl w:val="1"/>
          <w:numId w:val="31"/>
        </w:numPr>
        <w:spacing w:line="360" w:lineRule="auto"/>
        <w:ind w:left="0" w:firstLine="0"/>
        <w:jc w:val="center"/>
        <w:rPr>
          <w:rFonts w:hint="eastAsia"/>
          <w:b/>
          <w:color w:val="auto"/>
          <w:highlight w:val="none"/>
        </w:rPr>
      </w:pPr>
      <w:bookmarkStart w:id="312" w:name="_Toc8126"/>
      <w:bookmarkStart w:id="313" w:name="_Toc15530"/>
      <w:bookmarkStart w:id="314" w:name="_Toc9619"/>
      <w:bookmarkStart w:id="315" w:name="_Toc11036"/>
      <w:bookmarkStart w:id="316" w:name="_Toc28953"/>
      <w:bookmarkStart w:id="317" w:name="_Toc4434"/>
      <w:bookmarkStart w:id="318" w:name="_Toc10644"/>
      <w:bookmarkStart w:id="319" w:name="_Toc13413"/>
      <w:bookmarkStart w:id="320" w:name="_Toc21262"/>
      <w:bookmarkStart w:id="321" w:name="_Toc12278"/>
      <w:bookmarkStart w:id="322" w:name="_Toc30049"/>
      <w:bookmarkStart w:id="323" w:name="_Toc24947"/>
      <w:r>
        <w:rPr>
          <w:rFonts w:hint="eastAsia"/>
          <w:b/>
          <w:color w:val="auto"/>
          <w:highlight w:val="none"/>
        </w:rPr>
        <w:t>其他资料</w:t>
      </w:r>
      <w:bookmarkEnd w:id="312"/>
      <w:bookmarkEnd w:id="313"/>
      <w:bookmarkEnd w:id="314"/>
      <w:bookmarkEnd w:id="315"/>
      <w:bookmarkEnd w:id="316"/>
      <w:bookmarkEnd w:id="317"/>
      <w:bookmarkEnd w:id="318"/>
      <w:bookmarkEnd w:id="319"/>
      <w:bookmarkEnd w:id="320"/>
      <w:bookmarkEnd w:id="321"/>
      <w:bookmarkEnd w:id="322"/>
      <w:bookmarkEnd w:id="323"/>
    </w:p>
    <w:p>
      <w:pPr>
        <w:pStyle w:val="26"/>
        <w:spacing w:line="360" w:lineRule="auto"/>
        <w:ind w:firstLine="420"/>
        <w:rPr>
          <w:rFonts w:hint="eastAsia" w:hAnsi="宋体"/>
          <w:color w:val="auto"/>
          <w:highlight w:val="none"/>
        </w:rPr>
      </w:pPr>
    </w:p>
    <w:p>
      <w:pPr>
        <w:spacing w:line="360" w:lineRule="auto"/>
        <w:rPr>
          <w:rFonts w:hint="eastAsia" w:hAnsi="宋体"/>
          <w:color w:val="auto"/>
          <w:sz w:val="21"/>
          <w:szCs w:val="21"/>
          <w:highlight w:val="none"/>
        </w:rPr>
      </w:pPr>
      <w:r>
        <w:rPr>
          <w:rFonts w:hint="eastAsia" w:hAnsi="宋体"/>
          <w:color w:val="auto"/>
          <w:sz w:val="21"/>
          <w:szCs w:val="21"/>
          <w:highlight w:val="none"/>
        </w:rPr>
        <w:t>1、招标文件要求提供的其他资料（如有）</w:t>
      </w:r>
    </w:p>
    <w:p>
      <w:pPr>
        <w:spacing w:line="360" w:lineRule="auto"/>
        <w:rPr>
          <w:rFonts w:hint="eastAsia" w:hAnsi="宋体"/>
          <w:color w:val="auto"/>
          <w:sz w:val="21"/>
          <w:szCs w:val="21"/>
          <w:highlight w:val="none"/>
        </w:rPr>
      </w:pPr>
      <w:r>
        <w:rPr>
          <w:rFonts w:hint="eastAsia" w:hAnsi="宋体"/>
          <w:color w:val="auto"/>
          <w:sz w:val="21"/>
          <w:szCs w:val="21"/>
          <w:highlight w:val="none"/>
        </w:rPr>
        <w:t>2、投标人认为需要提供的其他资料（如有）</w:t>
      </w:r>
    </w:p>
    <w:p>
      <w:pPr>
        <w:pStyle w:val="26"/>
        <w:spacing w:line="360" w:lineRule="auto"/>
        <w:ind w:firstLine="420"/>
        <w:rPr>
          <w:rFonts w:hint="eastAsia" w:hAnsi="宋体"/>
          <w:color w:val="auto"/>
          <w:highlight w:val="none"/>
        </w:rPr>
      </w:pPr>
    </w:p>
    <w:p>
      <w:pPr>
        <w:pStyle w:val="2"/>
        <w:pageBreakBefore/>
        <w:spacing w:line="360" w:lineRule="auto"/>
        <w:jc w:val="center"/>
        <w:rPr>
          <w:rFonts w:hint="eastAsia"/>
          <w:b w:val="0"/>
          <w:color w:val="auto"/>
          <w:sz w:val="28"/>
          <w:szCs w:val="28"/>
          <w:highlight w:val="none"/>
        </w:rPr>
      </w:pPr>
      <w:bookmarkStart w:id="324" w:name="_Toc1530"/>
      <w:bookmarkStart w:id="325" w:name="_Toc12236"/>
      <w:bookmarkStart w:id="326" w:name="_Toc23049"/>
      <w:bookmarkStart w:id="327" w:name="_Toc30140"/>
      <w:bookmarkStart w:id="328" w:name="_Toc15567"/>
      <w:bookmarkStart w:id="329" w:name="_Toc17080"/>
      <w:bookmarkStart w:id="330" w:name="_Toc11964"/>
      <w:bookmarkStart w:id="331" w:name="_Toc18652"/>
      <w:bookmarkStart w:id="332" w:name="_Toc10309"/>
      <w:bookmarkStart w:id="333" w:name="_Toc27892"/>
      <w:bookmarkStart w:id="334" w:name="_Toc26782"/>
      <w:bookmarkStart w:id="335" w:name="_Toc19621"/>
      <w:r>
        <w:rPr>
          <w:rFonts w:hint="eastAsia"/>
          <w:bCs/>
          <w:color w:val="auto"/>
          <w:sz w:val="28"/>
          <w:szCs w:val="28"/>
          <w:highlight w:val="none"/>
        </w:rPr>
        <w:t>第五部分 唱标信封（单独编制装订成册，单独封装）</w:t>
      </w:r>
      <w:bookmarkEnd w:id="324"/>
      <w:bookmarkEnd w:id="325"/>
      <w:bookmarkEnd w:id="326"/>
      <w:bookmarkEnd w:id="327"/>
      <w:bookmarkEnd w:id="328"/>
      <w:bookmarkEnd w:id="329"/>
      <w:bookmarkEnd w:id="330"/>
      <w:bookmarkEnd w:id="331"/>
      <w:bookmarkEnd w:id="332"/>
      <w:bookmarkEnd w:id="333"/>
      <w:bookmarkEnd w:id="334"/>
      <w:bookmarkEnd w:id="335"/>
    </w:p>
    <w:p>
      <w:pPr>
        <w:spacing w:line="360" w:lineRule="auto"/>
        <w:ind w:left="849" w:leftChars="178" w:hanging="422" w:hangingChars="201"/>
        <w:rPr>
          <w:rFonts w:hint="eastAsia" w:hAnsi="宋体"/>
          <w:color w:val="auto"/>
          <w:sz w:val="21"/>
          <w:szCs w:val="21"/>
          <w:highlight w:val="none"/>
        </w:rPr>
      </w:pPr>
    </w:p>
    <w:p>
      <w:pPr>
        <w:spacing w:line="360" w:lineRule="auto"/>
        <w:ind w:left="849" w:leftChars="178" w:hanging="422" w:hangingChars="201"/>
        <w:rPr>
          <w:rFonts w:hint="eastAsia" w:hAnsi="宋体"/>
          <w:color w:val="auto"/>
          <w:sz w:val="21"/>
          <w:szCs w:val="21"/>
          <w:highlight w:val="none"/>
        </w:rPr>
      </w:pPr>
      <w:r>
        <w:rPr>
          <w:rFonts w:hint="eastAsia" w:hAnsi="宋体"/>
          <w:color w:val="auto"/>
          <w:sz w:val="21"/>
          <w:szCs w:val="21"/>
          <w:highlight w:val="none"/>
        </w:rPr>
        <w:t>唱标信封内装（内容务必与投标文件正本一致）：</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投标函加盖投标人公章；</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开标一览表加盖公章；</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法定代表人证明书加盖公章；</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法定代表人授权委托书加盖公章（法定代表人投标的除外）；</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投标保证金汇入情况说明（含银行汇款凭证）加盖公章；</w:t>
      </w:r>
    </w:p>
    <w:p>
      <w:pPr>
        <w:numPr>
          <w:ilvl w:val="0"/>
          <w:numId w:val="32"/>
        </w:numPr>
        <w:spacing w:line="360" w:lineRule="auto"/>
        <w:ind w:firstLineChars="200"/>
        <w:rPr>
          <w:rFonts w:hint="eastAsia" w:hAnsi="宋体"/>
          <w:color w:val="auto"/>
          <w:sz w:val="21"/>
          <w:szCs w:val="21"/>
          <w:highlight w:val="none"/>
        </w:rPr>
      </w:pPr>
      <w:r>
        <w:rPr>
          <w:rFonts w:hint="eastAsia" w:hAnsi="宋体"/>
          <w:color w:val="auto"/>
          <w:sz w:val="21"/>
          <w:szCs w:val="21"/>
          <w:highlight w:val="none"/>
        </w:rPr>
        <w:t>投标文件电子文件（签字、盖章后的投标</w:t>
      </w:r>
      <w:r>
        <w:rPr>
          <w:rFonts w:hint="eastAsia" w:hAnsi="宋体"/>
          <w:b/>
          <w:color w:val="auto"/>
          <w:sz w:val="21"/>
          <w:szCs w:val="21"/>
          <w:highlight w:val="none"/>
        </w:rPr>
        <w:t>文件（含资格证明</w:t>
      </w:r>
      <w:r>
        <w:rPr>
          <w:rFonts w:hint="eastAsia" w:hAnsi="宋体"/>
          <w:color w:val="auto"/>
          <w:sz w:val="21"/>
          <w:szCs w:val="21"/>
          <w:highlight w:val="none"/>
        </w:rPr>
        <w:t>文件</w:t>
      </w:r>
      <w:r>
        <w:rPr>
          <w:rFonts w:hint="eastAsia" w:hAnsi="宋体"/>
          <w:b/>
          <w:color w:val="auto"/>
          <w:sz w:val="21"/>
          <w:szCs w:val="21"/>
          <w:highlight w:val="none"/>
        </w:rPr>
        <w:t>、商务文件、技术文件和价格文件、唱标信封）</w:t>
      </w:r>
      <w:r>
        <w:rPr>
          <w:rFonts w:hint="eastAsia" w:hAnsi="宋体"/>
          <w:color w:val="auto"/>
          <w:sz w:val="21"/>
          <w:szCs w:val="21"/>
          <w:highlight w:val="none"/>
        </w:rPr>
        <w:t>PDF格式扫描版</w:t>
      </w:r>
      <w:r>
        <w:rPr>
          <w:rFonts w:hint="eastAsia" w:hAnsi="宋体"/>
          <w:b/>
          <w:color w:val="auto"/>
          <w:sz w:val="21"/>
          <w:szCs w:val="21"/>
          <w:highlight w:val="none"/>
        </w:rPr>
        <w:t>和w</w:t>
      </w:r>
      <w:r>
        <w:rPr>
          <w:rFonts w:hAnsi="宋体"/>
          <w:b/>
          <w:color w:val="auto"/>
          <w:sz w:val="21"/>
          <w:szCs w:val="21"/>
          <w:highlight w:val="none"/>
        </w:rPr>
        <w:t>ord</w:t>
      </w:r>
      <w:r>
        <w:rPr>
          <w:rFonts w:hint="eastAsia" w:hAnsi="宋体"/>
          <w:b/>
          <w:color w:val="auto"/>
          <w:sz w:val="21"/>
          <w:szCs w:val="21"/>
          <w:highlight w:val="none"/>
        </w:rPr>
        <w:t>版</w:t>
      </w:r>
      <w:r>
        <w:rPr>
          <w:rFonts w:hint="eastAsia" w:hAnsi="宋体"/>
          <w:color w:val="auto"/>
          <w:sz w:val="21"/>
          <w:szCs w:val="21"/>
          <w:highlight w:val="none"/>
        </w:rPr>
        <w:t>电子文件, 可采用光盘介质或U盘装载）。</w:t>
      </w:r>
      <w:r>
        <w:rPr>
          <w:rFonts w:hint="eastAsia"/>
          <w:color w:val="auto"/>
          <w:highlight w:val="none"/>
        </w:rPr>
        <w:t xml:space="preserve"> </w:t>
      </w:r>
    </w:p>
    <w:p>
      <w:pPr>
        <w:rPr>
          <w:rFonts w:hint="eastAsia"/>
          <w:color w:val="auto"/>
          <w:highlight w:val="none"/>
        </w:rPr>
      </w:pPr>
    </w:p>
    <w:p>
      <w:pPr>
        <w:rPr>
          <w:rFonts w:hint="eastAsia"/>
          <w:color w:val="auto"/>
          <w:highlight w:val="none"/>
          <w:lang w:val="zh-CN"/>
        </w:rPr>
      </w:pPr>
      <w:bookmarkStart w:id="336" w:name="_Toc396137262"/>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bookmarkEnd w:id="336"/>
    <w:p>
      <w:pPr>
        <w:jc w:val="both"/>
        <w:rPr>
          <w:rFonts w:hint="eastAsia"/>
          <w:color w:val="auto"/>
          <w:highlight w:val="none"/>
        </w:rPr>
      </w:pPr>
    </w:p>
    <w:sectPr>
      <w:headerReference r:id="rId12" w:type="first"/>
      <w:footerReference r:id="rId15" w:type="first"/>
      <w:headerReference r:id="rId11" w:type="default"/>
      <w:footerReference r:id="rId13" w:type="default"/>
      <w:footerReference r:id="rId14" w:type="even"/>
      <w:type w:val="nextColumn"/>
      <w:pgSz w:w="11907" w:h="16840"/>
      <w:pgMar w:top="1440" w:right="1134" w:bottom="1440" w:left="1134" w:header="85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Consolas">
    <w:panose1 w:val="020B0609020204030204"/>
    <w:charset w:val="00"/>
    <w:family w:val="modern"/>
    <w:pitch w:val="default"/>
    <w:sig w:usb0="E10002FF" w:usb1="4000FCFF" w:usb2="00000009" w:usb3="00000000" w:csb0="6000019F" w:csb1="DFD70000"/>
  </w:font>
  <w:font w:name="Helvetica">
    <w:altName w:val="Arial"/>
    <w:panose1 w:val="020B0504020202020204"/>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时尚中黑简体">
    <w:altName w:val="黑体"/>
    <w:panose1 w:val="01010104010101010101"/>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3"/>
      </w:rPr>
    </w:pPr>
    <w:r>
      <w:fldChar w:fldCharType="begin"/>
    </w:r>
    <w:r>
      <w:rPr>
        <w:rStyle w:val="53"/>
      </w:rPr>
      <w:instrText xml:space="preserve">PAGE  </w:instrText>
    </w:r>
    <w:r>
      <w:fldChar w:fldCharType="separate"/>
    </w:r>
    <w:r>
      <w:rPr>
        <w:rStyle w:val="53"/>
      </w:rPr>
      <w:t>5</w: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Mc2MoBAACb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3iJryhxHGLEz///HH+9ef8+zt5&#10;+So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Mc2MoBAACbAwAADgAAAAAAAAABACAAAAAeAQAAZHJzL2Uyb0Rv&#10;Yy54bWxQSwUGAAAAAAYABgBZAQAAWgU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31"/>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9PbgYDwIAABEEAAAOAAAAAAAAAAEAIAAA&#10;ACABAABkcnMvZTJvRG9jLnhtbFBLBQYAAAAABgAGAFkBAAChBQAAAAA=&#10;">
              <v:fill on="f" focussize="0,0"/>
              <v:stroke on="f"/>
              <v:imagedata o:title=""/>
              <o:lock v:ext="edit" aspectratio="f"/>
              <v:textbox inset="0mm,0mm,0mm,0mm" style="mso-fit-shape-to-text:t;">
                <w:txbxContent>
                  <w:p>
                    <w:pPr>
                      <w:pStyle w:val="31"/>
                    </w:pP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Style w:val="53"/>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gjPFMk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k4d8ctTvz888f515/z7+/k&#10;7XUWqA9QY959wMw0vPMDJs9+QGfmPaho8xcZEYyjvKeLvHJIRORHq+VqVWFIYGy+ID57eB4ipPfS&#10;W5KNhkacX5GVHz9CGlPnlFzN+TttTJmhcf84EDN7WO597DFbadgNE6Gdb0/Ip8fRN9ThplNiPjhU&#10;Nm/JbMTZ2M3GIUS978oa5XoQbg8Jmyi95Qoj7FQYZ1bYTfuVl+LxvWQ9/F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CM8UyQEAAJsDAAAOAAAAAAAAAAEAIAAAAB4BAABkcnMvZTJvRG9j&#10;LnhtbFBLBQYAAAAABgAGAFkBAABZBQ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p>
    <w:pPr>
      <w:pStyle w:val="31"/>
      <w:jc w:val="center"/>
      <w:rPr>
        <w:rStyle w:val="5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sKxcoBAACbAwAADgAAAGRycy9lMm9Eb2MueG1srVPNjtMwEL4j8Q6W&#10;79TZI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hxHGLEz///HH+9ef8+zt5&#10;+To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msKxcoBAACbAwAADgAAAAAAAAABACAAAAAeAQAAZHJzL2Uyb0Rv&#10;Yy54bWxQSwUGAAAAAAYABgBZAQAAWgU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hint="eastAsia"/>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wrap="none" lIns="0" tIns="0" rIns="0" bIns="0" upright="0">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DZR8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VK4rjFiZ9//jj/+nP+/Z28&#10;fpsF6gPUmHcbMDMN7/2AazP7AZ2Z96CizV9kRDCOWKeLvHJIRORHq+VqVWFIYGy+ID67fx4ipA/S&#10;W5KNhkacX5GVHz9BGlPnlFzN+RttTJmhcf85EDN7WO597DFbadgNE6Gdb0/Ip8fRN9ThplNiPjpU&#10;FvtLsxFnYzcbhxD1vitrlOtBeHdI2ETpLVcYYafCOLPCbtqvvBT/3kvW/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0DZR8oBAACbAwAADgAAAAAAAAABACAAAAAeAQAAZHJzL2Uyb0Rv&#10;Yy54bWxQSwUGAAAAAAYABgBZAQAAWgUAAAAA&#10;">
              <v:fill on="f" focussize="0,0"/>
              <v:stroke on="f"/>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7130" cy="156845"/>
              <wp:effectExtent l="0" t="0" r="0" b="0"/>
              <wp:wrapNone/>
              <wp:docPr id="15" name="文本框 1028"/>
              <wp:cNvGraphicFramePr/>
              <a:graphic xmlns:a="http://schemas.openxmlformats.org/drawingml/2006/main">
                <a:graphicData uri="http://schemas.microsoft.com/office/word/2010/wordprocessingShape">
                  <wps:wsp>
                    <wps:cNvSpPr txBox="1"/>
                    <wps:spPr>
                      <a:xfrm>
                        <a:off x="0" y="0"/>
                        <a:ext cx="1167130" cy="156845"/>
                      </a:xfrm>
                      <a:prstGeom prst="rect">
                        <a:avLst/>
                      </a:prstGeom>
                      <a:noFill/>
                      <a:ln w="15875">
                        <a:noFill/>
                      </a:ln>
                    </wps:spPr>
                    <wps:txbx>
                      <w:txbxContent>
                        <w:p>
                          <w:pPr>
                            <w:pStyle w:val="31"/>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lIns="0" tIns="0" rIns="0" bIns="0" upright="0"/>
                  </wps:wsp>
                </a:graphicData>
              </a:graphic>
            </wp:anchor>
          </w:drawing>
        </mc:Choice>
        <mc:Fallback>
          <w:pict>
            <v:shape id="文本框 1028" o:spid="_x0000_s1026" o:spt="202" type="#_x0000_t202" style="position:absolute;left:0pt;margin-top:0pt;height:12.35pt;width:91.9pt;mso-position-horizontal:center;mso-position-horizontal-relative:margin;z-index:251661312;mso-width-relative:page;mso-height-relative:page;" filled="f" stroked="f" coordsize="21600,21600" o:gfxdata="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Q3ecDUAAAABAEAAA8AAAAAAAAAAQAgAAAAIgAAAGRycy9kb3ducmV2Lnht&#10;bFBLAQIUABQAAAAIAIdO4kAGno3rxAEAAIADAAAOAAAAAAAAAAEAIAAAACMBAABkcnMvZTJvRG9j&#10;LnhtbFBLBQYAAAAABgAGAFkBAABZBQAAAAA=&#10;">
              <v:fill on="f" focussize="0,0"/>
              <v:stroke on="f" weight="1.25pt"/>
              <v:imagedata o:title=""/>
              <o:lock v:ext="edit" aspectratio="f"/>
              <v:textbox inset="0mm,0mm,0mm,0mm">
                <w:txbxContent>
                  <w:p>
                    <w:pPr>
                      <w:pStyle w:val="31"/>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3"/>
      </w:rPr>
    </w:pPr>
    <w:r>
      <w:fldChar w:fldCharType="begin"/>
    </w:r>
    <w:r>
      <w:rPr>
        <w:rStyle w:val="53"/>
      </w:rPr>
      <w:instrText xml:space="preserve">PAGE  </w:instrText>
    </w:r>
    <w:r>
      <w:fldChar w:fldCharType="separate"/>
    </w:r>
    <w:r>
      <w:fldChar w:fldCharType="end"/>
    </w:r>
  </w:p>
  <w:p>
    <w:pPr>
      <w:pStyle w:val="3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WEdm9UBAACnAwAADgAAAAAAAAABACAA&#10;AAAiAQAAZHJzL2Uyb0RvYy54bWxQSwUGAAAAAAYABgBZAQAAaQUA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tabs>
        <w:tab w:val="left" w:pos="5049"/>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59264" behindDoc="1" locked="0" layoutInCell="1" allowOverlap="1">
          <wp:simplePos x="0" y="0"/>
          <wp:positionH relativeFrom="column">
            <wp:posOffset>3349625</wp:posOffset>
          </wp:positionH>
          <wp:positionV relativeFrom="paragraph">
            <wp:posOffset>-264160</wp:posOffset>
          </wp:positionV>
          <wp:extent cx="434340" cy="448945"/>
          <wp:effectExtent l="0" t="0" r="3810" b="8255"/>
          <wp:wrapNone/>
          <wp:docPr id="13"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公司logo"/>
                  <pic:cNvPicPr>
                    <a:picLocks noChangeAspect="1"/>
                  </pic:cNvPicPr>
                </pic:nvPicPr>
                <pic:blipFill>
                  <a:blip r:embed="rId1"/>
                  <a:stretch>
                    <a:fillRect/>
                  </a:stretch>
                </pic:blipFill>
                <pic:spPr>
                  <a:xfrm>
                    <a:off x="0" y="0"/>
                    <a:ext cx="434340" cy="448945"/>
                  </a:xfrm>
                  <a:prstGeom prst="rect">
                    <a:avLst/>
                  </a:prstGeom>
                  <a:noFill/>
                  <a:ln>
                    <a:noFill/>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2"/>
      <w:pBdr>
        <w:bottom w:val="none" w:color="auto" w:sz="0" w:space="1"/>
      </w:pBdr>
      <w:tabs>
        <w:tab w:val="left" w:pos="5049"/>
      </w:tabs>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B6E3"/>
    <w:multiLevelType w:val="multilevel"/>
    <w:tmpl w:val="84AFB6E3"/>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8D8A353B"/>
    <w:multiLevelType w:val="singleLevel"/>
    <w:tmpl w:val="8D8A353B"/>
    <w:lvl w:ilvl="0" w:tentative="0">
      <w:start w:val="1"/>
      <w:numFmt w:val="chineseCounting"/>
      <w:suff w:val="nothing"/>
      <w:lvlText w:val="（%1）"/>
      <w:lvlJc w:val="left"/>
      <w:pPr>
        <w:ind w:left="0" w:firstLine="420"/>
      </w:pPr>
      <w:rPr>
        <w:rFonts w:hint="eastAsia"/>
      </w:rPr>
    </w:lvl>
  </w:abstractNum>
  <w:abstractNum w:abstractNumId="2">
    <w:nsid w:val="A9FD377D"/>
    <w:multiLevelType w:val="singleLevel"/>
    <w:tmpl w:val="A9FD377D"/>
    <w:lvl w:ilvl="0" w:tentative="0">
      <w:start w:val="7"/>
      <w:numFmt w:val="chineseCounting"/>
      <w:suff w:val="nothing"/>
      <w:lvlText w:val="%1、"/>
      <w:lvlJc w:val="left"/>
      <w:rPr>
        <w:rFonts w:hint="eastAsia"/>
      </w:rPr>
    </w:lvl>
  </w:abstractNum>
  <w:abstractNum w:abstractNumId="3">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4">
    <w:nsid w:val="F3051630"/>
    <w:multiLevelType w:val="singleLevel"/>
    <w:tmpl w:val="F3051630"/>
    <w:lvl w:ilvl="0" w:tentative="0">
      <w:start w:val="1"/>
      <w:numFmt w:val="chineseCounting"/>
      <w:suff w:val="nothing"/>
      <w:lvlText w:val="（%1）"/>
      <w:lvlJc w:val="left"/>
      <w:pPr>
        <w:ind w:left="0" w:firstLine="420"/>
      </w:pPr>
      <w:rPr>
        <w:rFonts w:hint="eastAsia"/>
      </w:rPr>
    </w:lvl>
  </w:abstractNum>
  <w:abstractNum w:abstractNumId="5">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E"/>
    <w:multiLevelType w:val="multilevel"/>
    <w:tmpl w:val="0000000E"/>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F"/>
    <w:multiLevelType w:val="multilevel"/>
    <w:tmpl w:val="0000000F"/>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8">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67"/>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5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multilevel"/>
    <w:tmpl w:val="00000013"/>
    <w:lvl w:ilvl="0" w:tentative="0">
      <w:start w:val="1"/>
      <w:numFmt w:val="decimal"/>
      <w:pStyle w:val="144"/>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D"/>
    <w:multiLevelType w:val="multilevel"/>
    <w:tmpl w:val="0000001D"/>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6">
    <w:nsid w:val="0000001F"/>
    <w:multiLevelType w:val="multilevel"/>
    <w:tmpl w:val="0000001F"/>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20"/>
    <w:multiLevelType w:val="multilevel"/>
    <w:tmpl w:val="00000020"/>
    <w:lvl w:ilvl="0" w:tentative="0">
      <w:start w:val="1"/>
      <w:numFmt w:val="bullet"/>
      <w:pStyle w:val="18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5"/>
    <w:multiLevelType w:val="singleLevel"/>
    <w:tmpl w:val="00000025"/>
    <w:lvl w:ilvl="0" w:tentative="0">
      <w:start w:val="2"/>
      <w:numFmt w:val="chineseCounting"/>
      <w:suff w:val="nothing"/>
      <w:lvlText w:val="%1、"/>
      <w:lvlJc w:val="left"/>
    </w:lvl>
  </w:abstractNum>
  <w:abstractNum w:abstractNumId="20">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0000029"/>
    <w:multiLevelType w:val="multilevel"/>
    <w:tmpl w:val="00000029"/>
    <w:lvl w:ilvl="0" w:tentative="0">
      <w:start w:val="1"/>
      <w:numFmt w:val="bullet"/>
      <w:pStyle w:val="46"/>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22">
    <w:nsid w:val="0A57500B"/>
    <w:multiLevelType w:val="multilevel"/>
    <w:tmpl w:val="0A57500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37F1085"/>
    <w:multiLevelType w:val="multilevel"/>
    <w:tmpl w:val="437F1085"/>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5">
    <w:nsid w:val="58DF2B88"/>
    <w:multiLevelType w:val="singleLevel"/>
    <w:tmpl w:val="58DF2B88"/>
    <w:lvl w:ilvl="0" w:tentative="0">
      <w:start w:val="1"/>
      <w:numFmt w:val="decimal"/>
      <w:suff w:val="nothing"/>
      <w:lvlText w:val="%1、"/>
      <w:lvlJc w:val="left"/>
    </w:lvl>
  </w:abstractNum>
  <w:abstractNum w:abstractNumId="2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27">
    <w:nsid w:val="59E48005"/>
    <w:multiLevelType w:val="singleLevel"/>
    <w:tmpl w:val="59E48005"/>
    <w:lvl w:ilvl="0" w:tentative="0">
      <w:start w:val="2"/>
      <w:numFmt w:val="chineseCounting"/>
      <w:suff w:val="nothing"/>
      <w:lvlText w:val="（%1）"/>
      <w:lvlJc w:val="left"/>
    </w:lvl>
  </w:abstractNum>
  <w:abstractNum w:abstractNumId="28">
    <w:nsid w:val="59F3F544"/>
    <w:multiLevelType w:val="singleLevel"/>
    <w:tmpl w:val="59F3F544"/>
    <w:lvl w:ilvl="0" w:tentative="0">
      <w:start w:val="1"/>
      <w:numFmt w:val="decimal"/>
      <w:lvlText w:val="%1."/>
      <w:lvlJc w:val="left"/>
      <w:pPr>
        <w:ind w:left="425" w:hanging="425"/>
      </w:pPr>
      <w:rPr>
        <w:rFonts w:hint="default"/>
      </w:rPr>
    </w:lvl>
  </w:abstractNum>
  <w:abstractNum w:abstractNumId="29">
    <w:nsid w:val="59F3F6CD"/>
    <w:multiLevelType w:val="singleLevel"/>
    <w:tmpl w:val="59F3F6CD"/>
    <w:lvl w:ilvl="0" w:tentative="0">
      <w:start w:val="1"/>
      <w:numFmt w:val="chineseCounting"/>
      <w:suff w:val="nothing"/>
      <w:lvlText w:val="（%1）"/>
      <w:lvlJc w:val="left"/>
      <w:pPr>
        <w:ind w:left="0" w:firstLine="420"/>
      </w:pPr>
      <w:rPr>
        <w:rFonts w:hint="eastAsia"/>
      </w:rPr>
    </w:lvl>
  </w:abstractNum>
  <w:abstractNum w:abstractNumId="30">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AB4836E"/>
    <w:multiLevelType w:val="multilevel"/>
    <w:tmpl w:val="6AB4836E"/>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3"/>
  </w:num>
  <w:num w:numId="2">
    <w:abstractNumId w:val="7"/>
  </w:num>
  <w:num w:numId="3">
    <w:abstractNumId w:val="21"/>
  </w:num>
  <w:num w:numId="4">
    <w:abstractNumId w:val="11"/>
  </w:num>
  <w:num w:numId="5">
    <w:abstractNumId w:val="10"/>
  </w:num>
  <w:num w:numId="6">
    <w:abstractNumId w:val="8"/>
  </w:num>
  <w:num w:numId="7">
    <w:abstractNumId w:val="17"/>
  </w:num>
  <w:num w:numId="8">
    <w:abstractNumId w:val="20"/>
  </w:num>
  <w:num w:numId="9">
    <w:abstractNumId w:val="18"/>
  </w:num>
  <w:num w:numId="10">
    <w:abstractNumId w:val="4"/>
  </w:num>
  <w:num w:numId="11">
    <w:abstractNumId w:val="3"/>
  </w:num>
  <w:num w:numId="12">
    <w:abstractNumId w:val="1"/>
  </w:num>
  <w:num w:numId="13">
    <w:abstractNumId w:val="19"/>
  </w:num>
  <w:num w:numId="14">
    <w:abstractNumId w:val="14"/>
  </w:num>
  <w:num w:numId="15">
    <w:abstractNumId w:val="0"/>
  </w:num>
  <w:num w:numId="16">
    <w:abstractNumId w:val="15"/>
  </w:num>
  <w:num w:numId="17">
    <w:abstractNumId w:val="2"/>
  </w:num>
  <w:num w:numId="18">
    <w:abstractNumId w:val="9"/>
  </w:num>
  <w:num w:numId="19">
    <w:abstractNumId w:val="29"/>
  </w:num>
  <w:num w:numId="20">
    <w:abstractNumId w:val="30"/>
  </w:num>
  <w:num w:numId="21">
    <w:abstractNumId w:val="27"/>
  </w:num>
  <w:num w:numId="22">
    <w:abstractNumId w:val="2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24"/>
  </w:num>
  <w:num w:numId="27">
    <w:abstractNumId w:val="25"/>
  </w:num>
  <w:num w:numId="28">
    <w:abstractNumId w:val="16"/>
  </w:num>
  <w:num w:numId="29">
    <w:abstractNumId w:val="31"/>
  </w:num>
  <w:num w:numId="30">
    <w:abstractNumId w:val="5"/>
  </w:num>
  <w:num w:numId="31">
    <w:abstractNumId w:val="6"/>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435"/>
    <w:rsid w:val="000310C4"/>
    <w:rsid w:val="000338DA"/>
    <w:rsid w:val="00044F60"/>
    <w:rsid w:val="00055CD6"/>
    <w:rsid w:val="000823D9"/>
    <w:rsid w:val="00135223"/>
    <w:rsid w:val="00146D02"/>
    <w:rsid w:val="00197051"/>
    <w:rsid w:val="001A31EA"/>
    <w:rsid w:val="001D4260"/>
    <w:rsid w:val="001E2687"/>
    <w:rsid w:val="00201FF9"/>
    <w:rsid w:val="00230CF9"/>
    <w:rsid w:val="00267764"/>
    <w:rsid w:val="002908F6"/>
    <w:rsid w:val="002A1257"/>
    <w:rsid w:val="002C1752"/>
    <w:rsid w:val="002C418B"/>
    <w:rsid w:val="002D687C"/>
    <w:rsid w:val="00325436"/>
    <w:rsid w:val="003635A9"/>
    <w:rsid w:val="003975EB"/>
    <w:rsid w:val="003A3869"/>
    <w:rsid w:val="003F28CD"/>
    <w:rsid w:val="004231C2"/>
    <w:rsid w:val="004327EF"/>
    <w:rsid w:val="00470F99"/>
    <w:rsid w:val="0048753D"/>
    <w:rsid w:val="00496EB9"/>
    <w:rsid w:val="0050157A"/>
    <w:rsid w:val="00563F71"/>
    <w:rsid w:val="00593CBF"/>
    <w:rsid w:val="00597F34"/>
    <w:rsid w:val="005B5C14"/>
    <w:rsid w:val="005D0385"/>
    <w:rsid w:val="00613C12"/>
    <w:rsid w:val="0066236C"/>
    <w:rsid w:val="006F69C8"/>
    <w:rsid w:val="007266BA"/>
    <w:rsid w:val="00747EC8"/>
    <w:rsid w:val="00766AFF"/>
    <w:rsid w:val="00782DD0"/>
    <w:rsid w:val="00821289"/>
    <w:rsid w:val="008332B6"/>
    <w:rsid w:val="008614B9"/>
    <w:rsid w:val="008A638E"/>
    <w:rsid w:val="008A6CBB"/>
    <w:rsid w:val="008C2222"/>
    <w:rsid w:val="008C4968"/>
    <w:rsid w:val="008E4970"/>
    <w:rsid w:val="00913271"/>
    <w:rsid w:val="009422CE"/>
    <w:rsid w:val="00947C62"/>
    <w:rsid w:val="00951A8F"/>
    <w:rsid w:val="00970A65"/>
    <w:rsid w:val="00993ADA"/>
    <w:rsid w:val="009A5949"/>
    <w:rsid w:val="009D10CC"/>
    <w:rsid w:val="009E2B1E"/>
    <w:rsid w:val="009E36A1"/>
    <w:rsid w:val="00A04ABE"/>
    <w:rsid w:val="00A11A47"/>
    <w:rsid w:val="00A215E5"/>
    <w:rsid w:val="00A611AE"/>
    <w:rsid w:val="00A73714"/>
    <w:rsid w:val="00A77B54"/>
    <w:rsid w:val="00AA7D8C"/>
    <w:rsid w:val="00AB34CA"/>
    <w:rsid w:val="00AC1606"/>
    <w:rsid w:val="00AC5E7E"/>
    <w:rsid w:val="00AD56B0"/>
    <w:rsid w:val="00AE75E4"/>
    <w:rsid w:val="00B17AB6"/>
    <w:rsid w:val="00B21403"/>
    <w:rsid w:val="00B469F9"/>
    <w:rsid w:val="00B76C46"/>
    <w:rsid w:val="00B818AE"/>
    <w:rsid w:val="00BB208A"/>
    <w:rsid w:val="00BB5E3B"/>
    <w:rsid w:val="00BB69E2"/>
    <w:rsid w:val="00BB7895"/>
    <w:rsid w:val="00BC1F54"/>
    <w:rsid w:val="00C06F82"/>
    <w:rsid w:val="00C0739F"/>
    <w:rsid w:val="00C24DB8"/>
    <w:rsid w:val="00C61390"/>
    <w:rsid w:val="00C9061D"/>
    <w:rsid w:val="00CC3CDE"/>
    <w:rsid w:val="00CE77E9"/>
    <w:rsid w:val="00D27751"/>
    <w:rsid w:val="00D36629"/>
    <w:rsid w:val="00DB04BE"/>
    <w:rsid w:val="00DF2243"/>
    <w:rsid w:val="00E55E0D"/>
    <w:rsid w:val="00E844C7"/>
    <w:rsid w:val="00EB1ABE"/>
    <w:rsid w:val="00EE3F6B"/>
    <w:rsid w:val="00EF6736"/>
    <w:rsid w:val="00F014C7"/>
    <w:rsid w:val="00F07594"/>
    <w:rsid w:val="00F10F9D"/>
    <w:rsid w:val="00F119AC"/>
    <w:rsid w:val="00F31719"/>
    <w:rsid w:val="00F3582D"/>
    <w:rsid w:val="00F37965"/>
    <w:rsid w:val="00F37C07"/>
    <w:rsid w:val="00F61A62"/>
    <w:rsid w:val="01016788"/>
    <w:rsid w:val="010B18A0"/>
    <w:rsid w:val="01363EC9"/>
    <w:rsid w:val="01630778"/>
    <w:rsid w:val="01785B01"/>
    <w:rsid w:val="01D142D7"/>
    <w:rsid w:val="021F4C81"/>
    <w:rsid w:val="02414B92"/>
    <w:rsid w:val="02586685"/>
    <w:rsid w:val="028366E4"/>
    <w:rsid w:val="02936A2F"/>
    <w:rsid w:val="02B02E78"/>
    <w:rsid w:val="02C560C8"/>
    <w:rsid w:val="03240B2D"/>
    <w:rsid w:val="035324D3"/>
    <w:rsid w:val="0437435F"/>
    <w:rsid w:val="0441683D"/>
    <w:rsid w:val="04596DF6"/>
    <w:rsid w:val="048D3C72"/>
    <w:rsid w:val="048F729C"/>
    <w:rsid w:val="04981AB3"/>
    <w:rsid w:val="049A6F03"/>
    <w:rsid w:val="049E01CA"/>
    <w:rsid w:val="04AA7A54"/>
    <w:rsid w:val="04D857C4"/>
    <w:rsid w:val="04DC1E95"/>
    <w:rsid w:val="053B507A"/>
    <w:rsid w:val="05570A6D"/>
    <w:rsid w:val="05624E54"/>
    <w:rsid w:val="056B6415"/>
    <w:rsid w:val="056F7E9D"/>
    <w:rsid w:val="059D6F03"/>
    <w:rsid w:val="05A04252"/>
    <w:rsid w:val="05B531D5"/>
    <w:rsid w:val="05D256BA"/>
    <w:rsid w:val="05D70893"/>
    <w:rsid w:val="05EF3BF5"/>
    <w:rsid w:val="061C3754"/>
    <w:rsid w:val="06380AB0"/>
    <w:rsid w:val="064729A9"/>
    <w:rsid w:val="0684556E"/>
    <w:rsid w:val="06E412AA"/>
    <w:rsid w:val="06FE18ED"/>
    <w:rsid w:val="07005EC6"/>
    <w:rsid w:val="07114152"/>
    <w:rsid w:val="071F2807"/>
    <w:rsid w:val="074D0B91"/>
    <w:rsid w:val="07595DDE"/>
    <w:rsid w:val="0784472B"/>
    <w:rsid w:val="07897D5C"/>
    <w:rsid w:val="07934559"/>
    <w:rsid w:val="079B0031"/>
    <w:rsid w:val="07E16810"/>
    <w:rsid w:val="07F76F5C"/>
    <w:rsid w:val="08257642"/>
    <w:rsid w:val="0873640D"/>
    <w:rsid w:val="08737BC7"/>
    <w:rsid w:val="08783888"/>
    <w:rsid w:val="08C30F20"/>
    <w:rsid w:val="08D34294"/>
    <w:rsid w:val="08F13869"/>
    <w:rsid w:val="095D7264"/>
    <w:rsid w:val="09883CF7"/>
    <w:rsid w:val="09A37C42"/>
    <w:rsid w:val="09AE285A"/>
    <w:rsid w:val="09B71979"/>
    <w:rsid w:val="09CA4C87"/>
    <w:rsid w:val="09E60B24"/>
    <w:rsid w:val="09F400FB"/>
    <w:rsid w:val="0A0C2DE7"/>
    <w:rsid w:val="0A1846AD"/>
    <w:rsid w:val="0A334DE9"/>
    <w:rsid w:val="0A3673D1"/>
    <w:rsid w:val="0A694A50"/>
    <w:rsid w:val="0A8E130F"/>
    <w:rsid w:val="0A90217B"/>
    <w:rsid w:val="0AA12C61"/>
    <w:rsid w:val="0AD15A71"/>
    <w:rsid w:val="0AD50B07"/>
    <w:rsid w:val="0B0D3780"/>
    <w:rsid w:val="0B1E5674"/>
    <w:rsid w:val="0C405D06"/>
    <w:rsid w:val="0C5F45C4"/>
    <w:rsid w:val="0C6352C9"/>
    <w:rsid w:val="0C6E22F8"/>
    <w:rsid w:val="0C752414"/>
    <w:rsid w:val="0CA4014A"/>
    <w:rsid w:val="0CA518BE"/>
    <w:rsid w:val="0CEF26C3"/>
    <w:rsid w:val="0CF9441B"/>
    <w:rsid w:val="0D33119A"/>
    <w:rsid w:val="0D4A2577"/>
    <w:rsid w:val="0D4D7EA2"/>
    <w:rsid w:val="0D596969"/>
    <w:rsid w:val="0D6D348A"/>
    <w:rsid w:val="0D7947E9"/>
    <w:rsid w:val="0DC77E1F"/>
    <w:rsid w:val="0DE500C7"/>
    <w:rsid w:val="0DEE56E7"/>
    <w:rsid w:val="0E30061A"/>
    <w:rsid w:val="0E7E5B35"/>
    <w:rsid w:val="0E8C2866"/>
    <w:rsid w:val="0EAB15DF"/>
    <w:rsid w:val="0EC12B61"/>
    <w:rsid w:val="0ED26F85"/>
    <w:rsid w:val="0EEE6777"/>
    <w:rsid w:val="0F3822F7"/>
    <w:rsid w:val="0F554B61"/>
    <w:rsid w:val="0F6E442E"/>
    <w:rsid w:val="0FA658B8"/>
    <w:rsid w:val="0FA73397"/>
    <w:rsid w:val="0FB125A0"/>
    <w:rsid w:val="0FCE4656"/>
    <w:rsid w:val="1007384E"/>
    <w:rsid w:val="1064398C"/>
    <w:rsid w:val="107962EB"/>
    <w:rsid w:val="10C4053D"/>
    <w:rsid w:val="10D71D7B"/>
    <w:rsid w:val="10D763F7"/>
    <w:rsid w:val="111A2A3D"/>
    <w:rsid w:val="114253E0"/>
    <w:rsid w:val="115D274C"/>
    <w:rsid w:val="117B754E"/>
    <w:rsid w:val="11AD4506"/>
    <w:rsid w:val="11B06E15"/>
    <w:rsid w:val="11B472DB"/>
    <w:rsid w:val="121B6EA9"/>
    <w:rsid w:val="124364E9"/>
    <w:rsid w:val="126F4678"/>
    <w:rsid w:val="12773F45"/>
    <w:rsid w:val="12AC1D0D"/>
    <w:rsid w:val="12C2266E"/>
    <w:rsid w:val="12DC3392"/>
    <w:rsid w:val="12E80730"/>
    <w:rsid w:val="12F90EE0"/>
    <w:rsid w:val="13023D11"/>
    <w:rsid w:val="13693296"/>
    <w:rsid w:val="13CE5FC4"/>
    <w:rsid w:val="13EF1F4D"/>
    <w:rsid w:val="13F0544B"/>
    <w:rsid w:val="144C6770"/>
    <w:rsid w:val="146D4CA3"/>
    <w:rsid w:val="147778EA"/>
    <w:rsid w:val="14943CCC"/>
    <w:rsid w:val="14A91EBD"/>
    <w:rsid w:val="14CD7B2A"/>
    <w:rsid w:val="14F865C3"/>
    <w:rsid w:val="14FD249F"/>
    <w:rsid w:val="150F189B"/>
    <w:rsid w:val="15387CBB"/>
    <w:rsid w:val="15457698"/>
    <w:rsid w:val="154A5906"/>
    <w:rsid w:val="155F1A6E"/>
    <w:rsid w:val="158A75E1"/>
    <w:rsid w:val="1592511B"/>
    <w:rsid w:val="15A520DA"/>
    <w:rsid w:val="15BC0E5C"/>
    <w:rsid w:val="15D77617"/>
    <w:rsid w:val="15E6513C"/>
    <w:rsid w:val="16030E3F"/>
    <w:rsid w:val="165B5F0F"/>
    <w:rsid w:val="166320D6"/>
    <w:rsid w:val="16781249"/>
    <w:rsid w:val="167B7AAC"/>
    <w:rsid w:val="168304E1"/>
    <w:rsid w:val="16D5103D"/>
    <w:rsid w:val="16E051E8"/>
    <w:rsid w:val="16E10A0F"/>
    <w:rsid w:val="16ED26EB"/>
    <w:rsid w:val="17066EDE"/>
    <w:rsid w:val="1745088A"/>
    <w:rsid w:val="17970727"/>
    <w:rsid w:val="17981614"/>
    <w:rsid w:val="17D41BAE"/>
    <w:rsid w:val="17E80A04"/>
    <w:rsid w:val="18092CD5"/>
    <w:rsid w:val="180D00A7"/>
    <w:rsid w:val="181A6207"/>
    <w:rsid w:val="18214341"/>
    <w:rsid w:val="184D152B"/>
    <w:rsid w:val="185D607C"/>
    <w:rsid w:val="18732405"/>
    <w:rsid w:val="18820D72"/>
    <w:rsid w:val="18DE453C"/>
    <w:rsid w:val="18E514CE"/>
    <w:rsid w:val="190374C5"/>
    <w:rsid w:val="191474B7"/>
    <w:rsid w:val="192C0FEE"/>
    <w:rsid w:val="19331160"/>
    <w:rsid w:val="19496281"/>
    <w:rsid w:val="196F6FC1"/>
    <w:rsid w:val="19711A8D"/>
    <w:rsid w:val="19844126"/>
    <w:rsid w:val="1995428E"/>
    <w:rsid w:val="19992BD1"/>
    <w:rsid w:val="19AB5ACC"/>
    <w:rsid w:val="19CA0483"/>
    <w:rsid w:val="19E0672B"/>
    <w:rsid w:val="1A020EE7"/>
    <w:rsid w:val="1A43765F"/>
    <w:rsid w:val="1A6E6871"/>
    <w:rsid w:val="1AA34DD6"/>
    <w:rsid w:val="1ADB06D0"/>
    <w:rsid w:val="1B195DEC"/>
    <w:rsid w:val="1B3C2514"/>
    <w:rsid w:val="1B4463E1"/>
    <w:rsid w:val="1B4A6BAE"/>
    <w:rsid w:val="1B4B370A"/>
    <w:rsid w:val="1B5A04EB"/>
    <w:rsid w:val="1B666F94"/>
    <w:rsid w:val="1B860FD9"/>
    <w:rsid w:val="1BAB56D6"/>
    <w:rsid w:val="1BC40E99"/>
    <w:rsid w:val="1BCA7890"/>
    <w:rsid w:val="1BCB6A47"/>
    <w:rsid w:val="1BD80DF1"/>
    <w:rsid w:val="1BFB1779"/>
    <w:rsid w:val="1C1327C3"/>
    <w:rsid w:val="1C203191"/>
    <w:rsid w:val="1C29305C"/>
    <w:rsid w:val="1C534330"/>
    <w:rsid w:val="1C685830"/>
    <w:rsid w:val="1C6E22A8"/>
    <w:rsid w:val="1C8F2CA0"/>
    <w:rsid w:val="1CCC24BC"/>
    <w:rsid w:val="1CE512E6"/>
    <w:rsid w:val="1CEF2480"/>
    <w:rsid w:val="1D344635"/>
    <w:rsid w:val="1D521F6A"/>
    <w:rsid w:val="1D8A0E3C"/>
    <w:rsid w:val="1DA15E50"/>
    <w:rsid w:val="1DB27B15"/>
    <w:rsid w:val="1DB87E85"/>
    <w:rsid w:val="1DC44864"/>
    <w:rsid w:val="1DC934BA"/>
    <w:rsid w:val="1DE812DC"/>
    <w:rsid w:val="1DEB61F5"/>
    <w:rsid w:val="1DF17011"/>
    <w:rsid w:val="1DF84BC5"/>
    <w:rsid w:val="1E3A67E9"/>
    <w:rsid w:val="1E65625B"/>
    <w:rsid w:val="1E7B4E23"/>
    <w:rsid w:val="1E8B798C"/>
    <w:rsid w:val="1E927FD6"/>
    <w:rsid w:val="1EA3024A"/>
    <w:rsid w:val="1ED20877"/>
    <w:rsid w:val="1EF77DC5"/>
    <w:rsid w:val="1F1A16F9"/>
    <w:rsid w:val="1F2C6F87"/>
    <w:rsid w:val="1F383ACC"/>
    <w:rsid w:val="1F6B1540"/>
    <w:rsid w:val="1F9062F5"/>
    <w:rsid w:val="1FAA6FFB"/>
    <w:rsid w:val="1FE765C1"/>
    <w:rsid w:val="201421A9"/>
    <w:rsid w:val="202209B9"/>
    <w:rsid w:val="20280066"/>
    <w:rsid w:val="20304AD2"/>
    <w:rsid w:val="203B6599"/>
    <w:rsid w:val="204F6722"/>
    <w:rsid w:val="20902778"/>
    <w:rsid w:val="20AF30C4"/>
    <w:rsid w:val="20B139DE"/>
    <w:rsid w:val="20B26A79"/>
    <w:rsid w:val="20C20F88"/>
    <w:rsid w:val="20D338E2"/>
    <w:rsid w:val="20FD5C7C"/>
    <w:rsid w:val="2115662C"/>
    <w:rsid w:val="211A2D9F"/>
    <w:rsid w:val="21361A04"/>
    <w:rsid w:val="214418DF"/>
    <w:rsid w:val="216C040D"/>
    <w:rsid w:val="2179770A"/>
    <w:rsid w:val="219243AC"/>
    <w:rsid w:val="21B95143"/>
    <w:rsid w:val="21BA2BDE"/>
    <w:rsid w:val="21C04FD1"/>
    <w:rsid w:val="220D6242"/>
    <w:rsid w:val="224530A3"/>
    <w:rsid w:val="227F0AB8"/>
    <w:rsid w:val="22D915C4"/>
    <w:rsid w:val="22ED5F44"/>
    <w:rsid w:val="22F1330C"/>
    <w:rsid w:val="231A56E2"/>
    <w:rsid w:val="231F7C19"/>
    <w:rsid w:val="23481CC9"/>
    <w:rsid w:val="23542040"/>
    <w:rsid w:val="235F1272"/>
    <w:rsid w:val="23FC2ECE"/>
    <w:rsid w:val="242A330A"/>
    <w:rsid w:val="243C215F"/>
    <w:rsid w:val="246270E4"/>
    <w:rsid w:val="24772C2B"/>
    <w:rsid w:val="247D0F8E"/>
    <w:rsid w:val="24DC2B33"/>
    <w:rsid w:val="24DF22D5"/>
    <w:rsid w:val="25063B05"/>
    <w:rsid w:val="255702F8"/>
    <w:rsid w:val="257008BE"/>
    <w:rsid w:val="25B2621F"/>
    <w:rsid w:val="267B1511"/>
    <w:rsid w:val="26BD49DB"/>
    <w:rsid w:val="26D17DBC"/>
    <w:rsid w:val="26D24757"/>
    <w:rsid w:val="26E57912"/>
    <w:rsid w:val="274D17E4"/>
    <w:rsid w:val="27657226"/>
    <w:rsid w:val="27A57C3A"/>
    <w:rsid w:val="27B666B5"/>
    <w:rsid w:val="27CE1489"/>
    <w:rsid w:val="27D20BC1"/>
    <w:rsid w:val="281253C2"/>
    <w:rsid w:val="28163476"/>
    <w:rsid w:val="281756CB"/>
    <w:rsid w:val="28181E67"/>
    <w:rsid w:val="28666221"/>
    <w:rsid w:val="286F250E"/>
    <w:rsid w:val="287A3C66"/>
    <w:rsid w:val="287D2504"/>
    <w:rsid w:val="28A87389"/>
    <w:rsid w:val="28AB38BA"/>
    <w:rsid w:val="28F05606"/>
    <w:rsid w:val="291176CC"/>
    <w:rsid w:val="29573123"/>
    <w:rsid w:val="297F7A53"/>
    <w:rsid w:val="2992095F"/>
    <w:rsid w:val="29AC6651"/>
    <w:rsid w:val="29C4608A"/>
    <w:rsid w:val="29F51AC1"/>
    <w:rsid w:val="29F51D07"/>
    <w:rsid w:val="29FC30C2"/>
    <w:rsid w:val="2A1E766F"/>
    <w:rsid w:val="2A4E1742"/>
    <w:rsid w:val="2A5B06F6"/>
    <w:rsid w:val="2A783D0E"/>
    <w:rsid w:val="2AC473B4"/>
    <w:rsid w:val="2AD0515C"/>
    <w:rsid w:val="2AEA3CA6"/>
    <w:rsid w:val="2AF16E8B"/>
    <w:rsid w:val="2AF563FE"/>
    <w:rsid w:val="2B2D4BDC"/>
    <w:rsid w:val="2B6B63E6"/>
    <w:rsid w:val="2B751D42"/>
    <w:rsid w:val="2B767712"/>
    <w:rsid w:val="2BDF3567"/>
    <w:rsid w:val="2BFC26B9"/>
    <w:rsid w:val="2C596FFF"/>
    <w:rsid w:val="2CA6566A"/>
    <w:rsid w:val="2CAE7599"/>
    <w:rsid w:val="2CB2324F"/>
    <w:rsid w:val="2CBB6294"/>
    <w:rsid w:val="2D1E0D94"/>
    <w:rsid w:val="2D2C0ECE"/>
    <w:rsid w:val="2D2E04D4"/>
    <w:rsid w:val="2D3A4057"/>
    <w:rsid w:val="2D994DBE"/>
    <w:rsid w:val="2DD53F02"/>
    <w:rsid w:val="2E0A0263"/>
    <w:rsid w:val="2E1617FF"/>
    <w:rsid w:val="2E540B4D"/>
    <w:rsid w:val="2E57661A"/>
    <w:rsid w:val="2E73484D"/>
    <w:rsid w:val="2E7444B4"/>
    <w:rsid w:val="2E932E48"/>
    <w:rsid w:val="2E9A7164"/>
    <w:rsid w:val="2E9F5724"/>
    <w:rsid w:val="2EE1137A"/>
    <w:rsid w:val="2F233FA4"/>
    <w:rsid w:val="2F2C56BA"/>
    <w:rsid w:val="2F356A16"/>
    <w:rsid w:val="2F3A3651"/>
    <w:rsid w:val="2F4614DA"/>
    <w:rsid w:val="2FA00DAE"/>
    <w:rsid w:val="2FC7356E"/>
    <w:rsid w:val="302F6B49"/>
    <w:rsid w:val="304B72BA"/>
    <w:rsid w:val="30823077"/>
    <w:rsid w:val="308D06CF"/>
    <w:rsid w:val="30C20DD6"/>
    <w:rsid w:val="30CA1B4C"/>
    <w:rsid w:val="30EE4C4F"/>
    <w:rsid w:val="30FE7D63"/>
    <w:rsid w:val="31232963"/>
    <w:rsid w:val="31325E4A"/>
    <w:rsid w:val="315857B1"/>
    <w:rsid w:val="31787A3C"/>
    <w:rsid w:val="319C50F4"/>
    <w:rsid w:val="31AB6658"/>
    <w:rsid w:val="32137CF0"/>
    <w:rsid w:val="32340C69"/>
    <w:rsid w:val="32471F5A"/>
    <w:rsid w:val="32A47F84"/>
    <w:rsid w:val="32B7356F"/>
    <w:rsid w:val="32E06D40"/>
    <w:rsid w:val="32F2008A"/>
    <w:rsid w:val="32F86822"/>
    <w:rsid w:val="330C088A"/>
    <w:rsid w:val="332A5E08"/>
    <w:rsid w:val="333B7586"/>
    <w:rsid w:val="336F2029"/>
    <w:rsid w:val="33925FA9"/>
    <w:rsid w:val="33A41438"/>
    <w:rsid w:val="33AF4FB4"/>
    <w:rsid w:val="33C83CBB"/>
    <w:rsid w:val="33DE4357"/>
    <w:rsid w:val="34021EDC"/>
    <w:rsid w:val="342732F1"/>
    <w:rsid w:val="342B2E3E"/>
    <w:rsid w:val="3454463B"/>
    <w:rsid w:val="345518DE"/>
    <w:rsid w:val="346218B0"/>
    <w:rsid w:val="34A45174"/>
    <w:rsid w:val="34A60BCF"/>
    <w:rsid w:val="34AA4F73"/>
    <w:rsid w:val="352B6C5A"/>
    <w:rsid w:val="35520294"/>
    <w:rsid w:val="357C1D84"/>
    <w:rsid w:val="358E4C38"/>
    <w:rsid w:val="36237D2D"/>
    <w:rsid w:val="363503EB"/>
    <w:rsid w:val="3647637B"/>
    <w:rsid w:val="364F436F"/>
    <w:rsid w:val="367F686D"/>
    <w:rsid w:val="36A14C50"/>
    <w:rsid w:val="36B412F5"/>
    <w:rsid w:val="36C83AE9"/>
    <w:rsid w:val="36CC7A6D"/>
    <w:rsid w:val="36FA29E4"/>
    <w:rsid w:val="371F5DC9"/>
    <w:rsid w:val="372B30FF"/>
    <w:rsid w:val="372F768E"/>
    <w:rsid w:val="3752679A"/>
    <w:rsid w:val="376A4278"/>
    <w:rsid w:val="377870B5"/>
    <w:rsid w:val="377D5E16"/>
    <w:rsid w:val="377E65D4"/>
    <w:rsid w:val="37872B44"/>
    <w:rsid w:val="379F77DA"/>
    <w:rsid w:val="37A7041E"/>
    <w:rsid w:val="37A80A27"/>
    <w:rsid w:val="37AF64C6"/>
    <w:rsid w:val="37EC360C"/>
    <w:rsid w:val="383D0280"/>
    <w:rsid w:val="38416A66"/>
    <w:rsid w:val="38470471"/>
    <w:rsid w:val="38501969"/>
    <w:rsid w:val="38894B13"/>
    <w:rsid w:val="38B06545"/>
    <w:rsid w:val="38DD791D"/>
    <w:rsid w:val="3920221B"/>
    <w:rsid w:val="392F2460"/>
    <w:rsid w:val="39334BFF"/>
    <w:rsid w:val="395F6453"/>
    <w:rsid w:val="39B565E1"/>
    <w:rsid w:val="39FD7A51"/>
    <w:rsid w:val="3A921749"/>
    <w:rsid w:val="3ABC0E4D"/>
    <w:rsid w:val="3B5E6D5D"/>
    <w:rsid w:val="3B66210B"/>
    <w:rsid w:val="3B972AF7"/>
    <w:rsid w:val="3BA953EA"/>
    <w:rsid w:val="3BB70D15"/>
    <w:rsid w:val="3BB84391"/>
    <w:rsid w:val="3BC91BB9"/>
    <w:rsid w:val="3C120308"/>
    <w:rsid w:val="3C42650A"/>
    <w:rsid w:val="3C842E8D"/>
    <w:rsid w:val="3C9B51F8"/>
    <w:rsid w:val="3CA30691"/>
    <w:rsid w:val="3CA375A1"/>
    <w:rsid w:val="3CEA1EBA"/>
    <w:rsid w:val="3D101034"/>
    <w:rsid w:val="3D1E341C"/>
    <w:rsid w:val="3D2E4F73"/>
    <w:rsid w:val="3D4D2A0E"/>
    <w:rsid w:val="3DB74AC9"/>
    <w:rsid w:val="3DD17A5E"/>
    <w:rsid w:val="3DE33EA0"/>
    <w:rsid w:val="3DF80261"/>
    <w:rsid w:val="3E1573A5"/>
    <w:rsid w:val="3E832EAB"/>
    <w:rsid w:val="3E8A1A02"/>
    <w:rsid w:val="3E8E765E"/>
    <w:rsid w:val="3EB84200"/>
    <w:rsid w:val="3EC113B1"/>
    <w:rsid w:val="3EC7715A"/>
    <w:rsid w:val="3ED16A4F"/>
    <w:rsid w:val="3F134437"/>
    <w:rsid w:val="3F2B7413"/>
    <w:rsid w:val="3F5871FB"/>
    <w:rsid w:val="3F5E7233"/>
    <w:rsid w:val="3F775DB2"/>
    <w:rsid w:val="3F8E35DC"/>
    <w:rsid w:val="3F8F5DC2"/>
    <w:rsid w:val="3FA46F4F"/>
    <w:rsid w:val="3FBF5991"/>
    <w:rsid w:val="3FE10717"/>
    <w:rsid w:val="40181902"/>
    <w:rsid w:val="401C6EEF"/>
    <w:rsid w:val="404742BD"/>
    <w:rsid w:val="407B65B4"/>
    <w:rsid w:val="40E21CB8"/>
    <w:rsid w:val="40FD2266"/>
    <w:rsid w:val="410F31C3"/>
    <w:rsid w:val="412A7E96"/>
    <w:rsid w:val="41550C30"/>
    <w:rsid w:val="41875FCE"/>
    <w:rsid w:val="4190424D"/>
    <w:rsid w:val="419660CA"/>
    <w:rsid w:val="41B80879"/>
    <w:rsid w:val="421F07B8"/>
    <w:rsid w:val="42520CA1"/>
    <w:rsid w:val="425549EE"/>
    <w:rsid w:val="42785222"/>
    <w:rsid w:val="42892D78"/>
    <w:rsid w:val="432008E4"/>
    <w:rsid w:val="43270B23"/>
    <w:rsid w:val="43366434"/>
    <w:rsid w:val="434A0913"/>
    <w:rsid w:val="436A64E9"/>
    <w:rsid w:val="43711057"/>
    <w:rsid w:val="437D74D0"/>
    <w:rsid w:val="439C4F5E"/>
    <w:rsid w:val="43E630D7"/>
    <w:rsid w:val="43F02783"/>
    <w:rsid w:val="440F3100"/>
    <w:rsid w:val="449457D3"/>
    <w:rsid w:val="4496239C"/>
    <w:rsid w:val="44BE5C95"/>
    <w:rsid w:val="44C64EF3"/>
    <w:rsid w:val="44C9528F"/>
    <w:rsid w:val="44EF7847"/>
    <w:rsid w:val="450C200F"/>
    <w:rsid w:val="450F2BC2"/>
    <w:rsid w:val="4544041D"/>
    <w:rsid w:val="454746DD"/>
    <w:rsid w:val="455367B2"/>
    <w:rsid w:val="456355DA"/>
    <w:rsid w:val="45843BAF"/>
    <w:rsid w:val="458B784D"/>
    <w:rsid w:val="458F7B71"/>
    <w:rsid w:val="45A02EDD"/>
    <w:rsid w:val="45E61BCA"/>
    <w:rsid w:val="46416C3D"/>
    <w:rsid w:val="46526D41"/>
    <w:rsid w:val="46584865"/>
    <w:rsid w:val="468200E4"/>
    <w:rsid w:val="46C16F66"/>
    <w:rsid w:val="47001117"/>
    <w:rsid w:val="473B6754"/>
    <w:rsid w:val="47492E75"/>
    <w:rsid w:val="474F3804"/>
    <w:rsid w:val="475F3AC1"/>
    <w:rsid w:val="47C13542"/>
    <w:rsid w:val="47D90D4A"/>
    <w:rsid w:val="48113D01"/>
    <w:rsid w:val="48453B53"/>
    <w:rsid w:val="484C7B11"/>
    <w:rsid w:val="485C297F"/>
    <w:rsid w:val="485E0A04"/>
    <w:rsid w:val="48761BE3"/>
    <w:rsid w:val="48A4548A"/>
    <w:rsid w:val="48A57E1F"/>
    <w:rsid w:val="49304CB2"/>
    <w:rsid w:val="496F6EBE"/>
    <w:rsid w:val="49833FAC"/>
    <w:rsid w:val="498E1A2A"/>
    <w:rsid w:val="49A24B64"/>
    <w:rsid w:val="49A364F7"/>
    <w:rsid w:val="49C4569B"/>
    <w:rsid w:val="49E4226F"/>
    <w:rsid w:val="4A090DC7"/>
    <w:rsid w:val="4A14567E"/>
    <w:rsid w:val="4A2308FE"/>
    <w:rsid w:val="4A327B1E"/>
    <w:rsid w:val="4A5133EE"/>
    <w:rsid w:val="4A6F137A"/>
    <w:rsid w:val="4A955A49"/>
    <w:rsid w:val="4AAE7BE2"/>
    <w:rsid w:val="4AD80F53"/>
    <w:rsid w:val="4AEA5351"/>
    <w:rsid w:val="4B2C75A6"/>
    <w:rsid w:val="4B2F25FD"/>
    <w:rsid w:val="4B4B1E2A"/>
    <w:rsid w:val="4B5E7EC2"/>
    <w:rsid w:val="4B7575D1"/>
    <w:rsid w:val="4BB15678"/>
    <w:rsid w:val="4BB76960"/>
    <w:rsid w:val="4BD03593"/>
    <w:rsid w:val="4BD87666"/>
    <w:rsid w:val="4BE6691C"/>
    <w:rsid w:val="4BF01E9F"/>
    <w:rsid w:val="4BF467F9"/>
    <w:rsid w:val="4C1A7A9F"/>
    <w:rsid w:val="4C55744A"/>
    <w:rsid w:val="4C850277"/>
    <w:rsid w:val="4CA6042F"/>
    <w:rsid w:val="4CBC1AD5"/>
    <w:rsid w:val="4CC03205"/>
    <w:rsid w:val="4D354FF0"/>
    <w:rsid w:val="4D4C32B8"/>
    <w:rsid w:val="4DA67E4E"/>
    <w:rsid w:val="4DBB048A"/>
    <w:rsid w:val="4DDF7097"/>
    <w:rsid w:val="4DF666FE"/>
    <w:rsid w:val="4E363F2F"/>
    <w:rsid w:val="4EAB0B0A"/>
    <w:rsid w:val="4EAF3AED"/>
    <w:rsid w:val="4EB0019E"/>
    <w:rsid w:val="4ED32851"/>
    <w:rsid w:val="4ED35762"/>
    <w:rsid w:val="4EF5014E"/>
    <w:rsid w:val="4EFF6C23"/>
    <w:rsid w:val="4F33554E"/>
    <w:rsid w:val="4F356BF4"/>
    <w:rsid w:val="4F370F5B"/>
    <w:rsid w:val="4F7B292B"/>
    <w:rsid w:val="4FDC58FD"/>
    <w:rsid w:val="4FDC63C7"/>
    <w:rsid w:val="4FDE1C0C"/>
    <w:rsid w:val="4FF8797C"/>
    <w:rsid w:val="50216FE4"/>
    <w:rsid w:val="502A6E2C"/>
    <w:rsid w:val="50614DD7"/>
    <w:rsid w:val="50787CFE"/>
    <w:rsid w:val="508275D6"/>
    <w:rsid w:val="508C1E49"/>
    <w:rsid w:val="50A53D7D"/>
    <w:rsid w:val="50A70CF4"/>
    <w:rsid w:val="50AE1AE4"/>
    <w:rsid w:val="50C73EC5"/>
    <w:rsid w:val="50EB20EF"/>
    <w:rsid w:val="51167E7F"/>
    <w:rsid w:val="511857E7"/>
    <w:rsid w:val="51390032"/>
    <w:rsid w:val="51563C65"/>
    <w:rsid w:val="515C74D2"/>
    <w:rsid w:val="51652C0F"/>
    <w:rsid w:val="51893852"/>
    <w:rsid w:val="518D4538"/>
    <w:rsid w:val="51D5633C"/>
    <w:rsid w:val="51FD0367"/>
    <w:rsid w:val="52061A28"/>
    <w:rsid w:val="52280BC3"/>
    <w:rsid w:val="52377D55"/>
    <w:rsid w:val="52984624"/>
    <w:rsid w:val="52CE137F"/>
    <w:rsid w:val="52D27D25"/>
    <w:rsid w:val="52F10B24"/>
    <w:rsid w:val="530253C9"/>
    <w:rsid w:val="53451716"/>
    <w:rsid w:val="534A2585"/>
    <w:rsid w:val="534D691F"/>
    <w:rsid w:val="538B4037"/>
    <w:rsid w:val="53E637C7"/>
    <w:rsid w:val="53F45929"/>
    <w:rsid w:val="54414FFB"/>
    <w:rsid w:val="5468198B"/>
    <w:rsid w:val="547920F8"/>
    <w:rsid w:val="548E7006"/>
    <w:rsid w:val="54A655A6"/>
    <w:rsid w:val="54EB74E4"/>
    <w:rsid w:val="550D6D1B"/>
    <w:rsid w:val="55284AD7"/>
    <w:rsid w:val="5530324E"/>
    <w:rsid w:val="55457E29"/>
    <w:rsid w:val="555B0657"/>
    <w:rsid w:val="555B4CED"/>
    <w:rsid w:val="556032BE"/>
    <w:rsid w:val="55631E9C"/>
    <w:rsid w:val="55A71DDD"/>
    <w:rsid w:val="55FF3036"/>
    <w:rsid w:val="56020838"/>
    <w:rsid w:val="56292705"/>
    <w:rsid w:val="564E3203"/>
    <w:rsid w:val="56733A28"/>
    <w:rsid w:val="56B8045A"/>
    <w:rsid w:val="56D01431"/>
    <w:rsid w:val="56E972E0"/>
    <w:rsid w:val="56F2660F"/>
    <w:rsid w:val="572B455F"/>
    <w:rsid w:val="57394E06"/>
    <w:rsid w:val="57444728"/>
    <w:rsid w:val="578E09A5"/>
    <w:rsid w:val="57926FF9"/>
    <w:rsid w:val="57A24C01"/>
    <w:rsid w:val="57CA4234"/>
    <w:rsid w:val="57E61C83"/>
    <w:rsid w:val="57E738F8"/>
    <w:rsid w:val="57EB5B27"/>
    <w:rsid w:val="57EC2D60"/>
    <w:rsid w:val="58263426"/>
    <w:rsid w:val="584B40D6"/>
    <w:rsid w:val="58A3772F"/>
    <w:rsid w:val="58CC5EFE"/>
    <w:rsid w:val="58E65985"/>
    <w:rsid w:val="593401AC"/>
    <w:rsid w:val="59393A95"/>
    <w:rsid w:val="595B4B5C"/>
    <w:rsid w:val="59693F87"/>
    <w:rsid w:val="59AA5FFE"/>
    <w:rsid w:val="59B16335"/>
    <w:rsid w:val="59BB77BA"/>
    <w:rsid w:val="59D210B7"/>
    <w:rsid w:val="59E066B0"/>
    <w:rsid w:val="5A2816B8"/>
    <w:rsid w:val="5A4C0E52"/>
    <w:rsid w:val="5A5E2C31"/>
    <w:rsid w:val="5A7903FB"/>
    <w:rsid w:val="5A7B33E5"/>
    <w:rsid w:val="5AC20EBF"/>
    <w:rsid w:val="5AC35609"/>
    <w:rsid w:val="5B1C630C"/>
    <w:rsid w:val="5B387F1D"/>
    <w:rsid w:val="5B4F7EF5"/>
    <w:rsid w:val="5B5C5E93"/>
    <w:rsid w:val="5B5E04C9"/>
    <w:rsid w:val="5B74024A"/>
    <w:rsid w:val="5BF62976"/>
    <w:rsid w:val="5C16597D"/>
    <w:rsid w:val="5C1E30B1"/>
    <w:rsid w:val="5C701A42"/>
    <w:rsid w:val="5C707C6C"/>
    <w:rsid w:val="5CB523BD"/>
    <w:rsid w:val="5CC252FB"/>
    <w:rsid w:val="5CC76C7C"/>
    <w:rsid w:val="5CE4071E"/>
    <w:rsid w:val="5CE43419"/>
    <w:rsid w:val="5CF36024"/>
    <w:rsid w:val="5CFF01AA"/>
    <w:rsid w:val="5CFF559D"/>
    <w:rsid w:val="5D1344DD"/>
    <w:rsid w:val="5D1A038B"/>
    <w:rsid w:val="5D5954D8"/>
    <w:rsid w:val="5D7B6EDD"/>
    <w:rsid w:val="5D806796"/>
    <w:rsid w:val="5D827D40"/>
    <w:rsid w:val="5DA201F8"/>
    <w:rsid w:val="5DC52525"/>
    <w:rsid w:val="5DCD3255"/>
    <w:rsid w:val="5E394C6F"/>
    <w:rsid w:val="5E532ADD"/>
    <w:rsid w:val="5E69428E"/>
    <w:rsid w:val="5E91320F"/>
    <w:rsid w:val="5E915A7A"/>
    <w:rsid w:val="5E9E1F9E"/>
    <w:rsid w:val="5EA33A97"/>
    <w:rsid w:val="5EB12459"/>
    <w:rsid w:val="5ED134B6"/>
    <w:rsid w:val="5EF55DBA"/>
    <w:rsid w:val="5EFE027E"/>
    <w:rsid w:val="5F674C11"/>
    <w:rsid w:val="5F975767"/>
    <w:rsid w:val="5FC866E5"/>
    <w:rsid w:val="5FDA6CF5"/>
    <w:rsid w:val="5FEA2387"/>
    <w:rsid w:val="60013E4A"/>
    <w:rsid w:val="60090629"/>
    <w:rsid w:val="60265962"/>
    <w:rsid w:val="603256A7"/>
    <w:rsid w:val="60513F83"/>
    <w:rsid w:val="605B0294"/>
    <w:rsid w:val="606A3C6B"/>
    <w:rsid w:val="609B5019"/>
    <w:rsid w:val="60F711D5"/>
    <w:rsid w:val="610236BB"/>
    <w:rsid w:val="6119401A"/>
    <w:rsid w:val="61652DB1"/>
    <w:rsid w:val="61805459"/>
    <w:rsid w:val="618E2812"/>
    <w:rsid w:val="61970BE7"/>
    <w:rsid w:val="61CF11B1"/>
    <w:rsid w:val="620A3859"/>
    <w:rsid w:val="62204E0F"/>
    <w:rsid w:val="62207D5C"/>
    <w:rsid w:val="623545D9"/>
    <w:rsid w:val="62456A64"/>
    <w:rsid w:val="62845968"/>
    <w:rsid w:val="629F088D"/>
    <w:rsid w:val="62B35B81"/>
    <w:rsid w:val="62B75EDD"/>
    <w:rsid w:val="62C01D55"/>
    <w:rsid w:val="62C52AFC"/>
    <w:rsid w:val="62C92F2D"/>
    <w:rsid w:val="62D56E80"/>
    <w:rsid w:val="62D93169"/>
    <w:rsid w:val="63050849"/>
    <w:rsid w:val="631D5B18"/>
    <w:rsid w:val="631E201F"/>
    <w:rsid w:val="63577D60"/>
    <w:rsid w:val="636514C6"/>
    <w:rsid w:val="636F701B"/>
    <w:rsid w:val="638001CD"/>
    <w:rsid w:val="6382662F"/>
    <w:rsid w:val="63CB4107"/>
    <w:rsid w:val="63E97F1A"/>
    <w:rsid w:val="63FD7983"/>
    <w:rsid w:val="64090834"/>
    <w:rsid w:val="64116EAE"/>
    <w:rsid w:val="6467063D"/>
    <w:rsid w:val="64937E71"/>
    <w:rsid w:val="6495646A"/>
    <w:rsid w:val="64BD5F23"/>
    <w:rsid w:val="65B452A9"/>
    <w:rsid w:val="65D5131A"/>
    <w:rsid w:val="65DC3F8B"/>
    <w:rsid w:val="65E1661E"/>
    <w:rsid w:val="65F87A98"/>
    <w:rsid w:val="660365BD"/>
    <w:rsid w:val="660918F9"/>
    <w:rsid w:val="660D2EBD"/>
    <w:rsid w:val="663C1302"/>
    <w:rsid w:val="663D52E2"/>
    <w:rsid w:val="669A5886"/>
    <w:rsid w:val="66A0638E"/>
    <w:rsid w:val="66BF161F"/>
    <w:rsid w:val="67101119"/>
    <w:rsid w:val="67400D4D"/>
    <w:rsid w:val="674F0F57"/>
    <w:rsid w:val="6757222E"/>
    <w:rsid w:val="67B51B49"/>
    <w:rsid w:val="67C934A0"/>
    <w:rsid w:val="67C952B3"/>
    <w:rsid w:val="68394AA5"/>
    <w:rsid w:val="68720AE2"/>
    <w:rsid w:val="68B07FA7"/>
    <w:rsid w:val="68BD0E76"/>
    <w:rsid w:val="68ED6911"/>
    <w:rsid w:val="6903642B"/>
    <w:rsid w:val="692F5E27"/>
    <w:rsid w:val="69413405"/>
    <w:rsid w:val="69466675"/>
    <w:rsid w:val="698C2B7F"/>
    <w:rsid w:val="69AB5D7A"/>
    <w:rsid w:val="69B42A49"/>
    <w:rsid w:val="69C11F77"/>
    <w:rsid w:val="6A4C7335"/>
    <w:rsid w:val="6A545ADB"/>
    <w:rsid w:val="6A6B273C"/>
    <w:rsid w:val="6AAA18E6"/>
    <w:rsid w:val="6AC51200"/>
    <w:rsid w:val="6AC72F59"/>
    <w:rsid w:val="6AC938A9"/>
    <w:rsid w:val="6B2F05BC"/>
    <w:rsid w:val="6BDF1336"/>
    <w:rsid w:val="6BE80689"/>
    <w:rsid w:val="6C3161F1"/>
    <w:rsid w:val="6C87754D"/>
    <w:rsid w:val="6C8F3EF6"/>
    <w:rsid w:val="6CA16115"/>
    <w:rsid w:val="6CAD55CC"/>
    <w:rsid w:val="6CBE1616"/>
    <w:rsid w:val="6CC15F94"/>
    <w:rsid w:val="6D0C01A9"/>
    <w:rsid w:val="6D1D5F60"/>
    <w:rsid w:val="6D281ED7"/>
    <w:rsid w:val="6D551BE3"/>
    <w:rsid w:val="6D8821BB"/>
    <w:rsid w:val="6DAD51A4"/>
    <w:rsid w:val="6DC228ED"/>
    <w:rsid w:val="6DDD7761"/>
    <w:rsid w:val="6E617BC9"/>
    <w:rsid w:val="6E867994"/>
    <w:rsid w:val="6EA04E08"/>
    <w:rsid w:val="6EAA13EB"/>
    <w:rsid w:val="6EAA18F7"/>
    <w:rsid w:val="6EB778B5"/>
    <w:rsid w:val="6F80159B"/>
    <w:rsid w:val="6F8565BC"/>
    <w:rsid w:val="6F9501E6"/>
    <w:rsid w:val="6FC26F58"/>
    <w:rsid w:val="6FD761EC"/>
    <w:rsid w:val="70237401"/>
    <w:rsid w:val="706F41B0"/>
    <w:rsid w:val="70750A7A"/>
    <w:rsid w:val="709A5C21"/>
    <w:rsid w:val="70B20466"/>
    <w:rsid w:val="70D02722"/>
    <w:rsid w:val="710F60FE"/>
    <w:rsid w:val="715D05EF"/>
    <w:rsid w:val="7160510B"/>
    <w:rsid w:val="71D8215F"/>
    <w:rsid w:val="71DF1D07"/>
    <w:rsid w:val="71F30D17"/>
    <w:rsid w:val="720D209A"/>
    <w:rsid w:val="7210770E"/>
    <w:rsid w:val="7221044F"/>
    <w:rsid w:val="722D28D0"/>
    <w:rsid w:val="72403E93"/>
    <w:rsid w:val="724C22E8"/>
    <w:rsid w:val="725F0F01"/>
    <w:rsid w:val="729D5E1F"/>
    <w:rsid w:val="72A90D81"/>
    <w:rsid w:val="72E72EAA"/>
    <w:rsid w:val="7331658B"/>
    <w:rsid w:val="73403339"/>
    <w:rsid w:val="73560C2B"/>
    <w:rsid w:val="73793B3D"/>
    <w:rsid w:val="73A44876"/>
    <w:rsid w:val="73CF5F15"/>
    <w:rsid w:val="73D51780"/>
    <w:rsid w:val="73F006A6"/>
    <w:rsid w:val="73F022C4"/>
    <w:rsid w:val="744344CD"/>
    <w:rsid w:val="746371B3"/>
    <w:rsid w:val="74722F5E"/>
    <w:rsid w:val="747A43C9"/>
    <w:rsid w:val="74CB210C"/>
    <w:rsid w:val="74D83CE8"/>
    <w:rsid w:val="74DC547D"/>
    <w:rsid w:val="74EA7893"/>
    <w:rsid w:val="74EC246F"/>
    <w:rsid w:val="7501112D"/>
    <w:rsid w:val="75397634"/>
    <w:rsid w:val="75595BE3"/>
    <w:rsid w:val="755F5E08"/>
    <w:rsid w:val="7566495C"/>
    <w:rsid w:val="75744998"/>
    <w:rsid w:val="757606EF"/>
    <w:rsid w:val="75EF3354"/>
    <w:rsid w:val="760D4E3F"/>
    <w:rsid w:val="761A409E"/>
    <w:rsid w:val="762F02D7"/>
    <w:rsid w:val="763D7340"/>
    <w:rsid w:val="764A3221"/>
    <w:rsid w:val="766F4B74"/>
    <w:rsid w:val="76BA43D5"/>
    <w:rsid w:val="76CD5B13"/>
    <w:rsid w:val="76E90C43"/>
    <w:rsid w:val="76EB41A9"/>
    <w:rsid w:val="76F71295"/>
    <w:rsid w:val="7706359E"/>
    <w:rsid w:val="77116F40"/>
    <w:rsid w:val="771A5653"/>
    <w:rsid w:val="77343988"/>
    <w:rsid w:val="7734542F"/>
    <w:rsid w:val="774073C9"/>
    <w:rsid w:val="77460079"/>
    <w:rsid w:val="775316AA"/>
    <w:rsid w:val="77567D26"/>
    <w:rsid w:val="7760235E"/>
    <w:rsid w:val="779C53C4"/>
    <w:rsid w:val="77B41548"/>
    <w:rsid w:val="77B8456D"/>
    <w:rsid w:val="77C64121"/>
    <w:rsid w:val="77DB7C25"/>
    <w:rsid w:val="77FD4667"/>
    <w:rsid w:val="78010085"/>
    <w:rsid w:val="781200C6"/>
    <w:rsid w:val="78150104"/>
    <w:rsid w:val="78162DE7"/>
    <w:rsid w:val="781F39D0"/>
    <w:rsid w:val="783C3F6B"/>
    <w:rsid w:val="790B07BB"/>
    <w:rsid w:val="791063B8"/>
    <w:rsid w:val="793E7F2E"/>
    <w:rsid w:val="795726AE"/>
    <w:rsid w:val="796362D3"/>
    <w:rsid w:val="79653D1F"/>
    <w:rsid w:val="796F1999"/>
    <w:rsid w:val="798834D2"/>
    <w:rsid w:val="799713C5"/>
    <w:rsid w:val="79B7369F"/>
    <w:rsid w:val="79C10892"/>
    <w:rsid w:val="79D510F0"/>
    <w:rsid w:val="79F56CDC"/>
    <w:rsid w:val="7A032271"/>
    <w:rsid w:val="7A2D06EB"/>
    <w:rsid w:val="7A5B6EDF"/>
    <w:rsid w:val="7A676444"/>
    <w:rsid w:val="7A831C31"/>
    <w:rsid w:val="7AA27F96"/>
    <w:rsid w:val="7AC12A0B"/>
    <w:rsid w:val="7AE97B93"/>
    <w:rsid w:val="7B137629"/>
    <w:rsid w:val="7B1B29C2"/>
    <w:rsid w:val="7B2C0352"/>
    <w:rsid w:val="7BA57F90"/>
    <w:rsid w:val="7BBC18FF"/>
    <w:rsid w:val="7C026398"/>
    <w:rsid w:val="7C0E3103"/>
    <w:rsid w:val="7C100290"/>
    <w:rsid w:val="7C151FE3"/>
    <w:rsid w:val="7C1D63E0"/>
    <w:rsid w:val="7C2C1BA3"/>
    <w:rsid w:val="7C7654E0"/>
    <w:rsid w:val="7C9E2AE3"/>
    <w:rsid w:val="7CE251CF"/>
    <w:rsid w:val="7D1819A4"/>
    <w:rsid w:val="7D32554A"/>
    <w:rsid w:val="7D3D3E06"/>
    <w:rsid w:val="7D9829FD"/>
    <w:rsid w:val="7DCF62C8"/>
    <w:rsid w:val="7DD27875"/>
    <w:rsid w:val="7E046C2C"/>
    <w:rsid w:val="7E327A3B"/>
    <w:rsid w:val="7E782BA9"/>
    <w:rsid w:val="7E9213CC"/>
    <w:rsid w:val="7EA926FF"/>
    <w:rsid w:val="7EAA18EA"/>
    <w:rsid w:val="7EBC7EA6"/>
    <w:rsid w:val="7EC93E9C"/>
    <w:rsid w:val="7ED026B4"/>
    <w:rsid w:val="7EF33F65"/>
    <w:rsid w:val="7F1E31D8"/>
    <w:rsid w:val="7F4063AC"/>
    <w:rsid w:val="7F826632"/>
    <w:rsid w:val="7F852118"/>
    <w:rsid w:val="7F9746C1"/>
    <w:rsid w:val="7F984012"/>
    <w:rsid w:val="7FA31856"/>
    <w:rsid w:val="7FB2207D"/>
    <w:rsid w:val="7FEC0220"/>
    <w:rsid w:val="7FFC09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88"/>
    <w:qFormat/>
    <w:uiPriority w:val="0"/>
    <w:pPr>
      <w:outlineLvl w:val="0"/>
    </w:pPr>
  </w:style>
  <w:style w:type="paragraph" w:styleId="2">
    <w:name w:val="heading 2"/>
    <w:basedOn w:val="1"/>
    <w:next w:val="1"/>
    <w:qFormat/>
    <w:uiPriority w:val="0"/>
    <w:pPr>
      <w:outlineLvl w:val="1"/>
    </w:pPr>
    <w:rPr>
      <w:rFonts w:hAnsi="宋体" w:eastAsia="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beforeLines="0" w:after="290" w:afterLines="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beforeLines="0" w:after="64" w:afterLines="0"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beforeLines="0" w:after="64" w:afterLines="0"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beforeLines="0" w:after="64" w:afterLines="0"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beforeLines="0" w:after="64" w:afterLines="0" w:line="320" w:lineRule="auto"/>
      <w:ind w:left="1584" w:hanging="1584"/>
      <w:outlineLvl w:val="8"/>
    </w:pPr>
    <w:rPr>
      <w:rFonts w:ascii="Arial" w:hAnsi="Arial" w:eastAsia="黑体"/>
      <w:sz w:val="21"/>
      <w:szCs w:val="21"/>
    </w:rPr>
  </w:style>
  <w:style w:type="character" w:default="1" w:styleId="51">
    <w:name w:val="Default Paragraph Font"/>
    <w:qFormat/>
    <w:uiPriority w:val="0"/>
  </w:style>
  <w:style w:type="table" w:default="1" w:styleId="49">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hAnsi="Calibri" w:cs="Calibri"/>
      <w:sz w:val="18"/>
      <w:szCs w:val="18"/>
    </w:rPr>
  </w:style>
  <w:style w:type="paragraph" w:styleId="12">
    <w:name w:val="Normal Indent"/>
    <w:basedOn w:val="1"/>
    <w:link w:val="89"/>
    <w:qFormat/>
    <w:uiPriority w:val="0"/>
    <w:pPr>
      <w:widowControl/>
      <w:autoSpaceDE/>
      <w:autoSpaceDN/>
      <w:adjustRightInd/>
      <w:ind w:firstLine="420" w:firstLineChars="200"/>
    </w:pPr>
    <w:rPr>
      <w:rFonts w:ascii="Calibri"/>
      <w:sz w:val="20"/>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beforeLines="0" w:line="360" w:lineRule="auto"/>
      <w:jc w:val="both"/>
    </w:pPr>
    <w:rPr>
      <w:rFonts w:ascii="Arial" w:hAnsi="Arial"/>
      <w:snapToGrid w:val="0"/>
      <w:color w:val="000000"/>
      <w:sz w:val="21"/>
      <w:szCs w:val="20"/>
    </w:rPr>
  </w:style>
  <w:style w:type="paragraph" w:styleId="18">
    <w:name w:val="annotation text"/>
    <w:basedOn w:val="1"/>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1"/>
    <w:link w:val="90"/>
    <w:qFormat/>
    <w:uiPriority w:val="0"/>
    <w:pPr>
      <w:ind w:right="-26"/>
      <w:jc w:val="center"/>
    </w:pPr>
    <w:rPr>
      <w:rFonts w:hAnsi="Times New Roman"/>
      <w:b/>
      <w:bCs/>
      <w:kern w:val="2"/>
      <w:sz w:val="84"/>
      <w:szCs w:val="84"/>
      <w:lang w:val="zh-CN"/>
    </w:rPr>
  </w:style>
  <w:style w:type="paragraph" w:styleId="21">
    <w:name w:val="Body Text Indent"/>
    <w:basedOn w:val="1"/>
    <w:qFormat/>
    <w:uiPriority w:val="0"/>
    <w:pPr>
      <w:autoSpaceDE/>
      <w:autoSpaceDN/>
      <w:adjustRightInd/>
      <w:ind w:left="567" w:leftChars="270"/>
      <w:jc w:val="both"/>
    </w:pPr>
    <w:rPr>
      <w:rFonts w:ascii="Times New Roman"/>
      <w:kern w:val="2"/>
      <w:sz w:val="21"/>
      <w:szCs w:val="20"/>
    </w:rPr>
  </w:style>
  <w:style w:type="paragraph" w:styleId="22">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3">
    <w:name w:val="Block Text"/>
    <w:basedOn w:val="1"/>
    <w:qFormat/>
    <w:uiPriority w:val="0"/>
    <w:pPr>
      <w:spacing w:after="120" w:afterLines="0"/>
      <w:ind w:left="1440" w:leftChars="700" w:right="1440" w:rightChars="700"/>
    </w:pPr>
  </w:style>
  <w:style w:type="paragraph" w:styleId="24">
    <w:name w:val="toc 5"/>
    <w:basedOn w:val="1"/>
    <w:next w:val="1"/>
    <w:qFormat/>
    <w:uiPriority w:val="0"/>
    <w:pPr>
      <w:ind w:left="960"/>
    </w:pPr>
    <w:rPr>
      <w:rFonts w:ascii="Calibri" w:hAnsi="Calibri" w:cs="Calibri"/>
      <w:sz w:val="18"/>
      <w:szCs w:val="18"/>
    </w:rPr>
  </w:style>
  <w:style w:type="paragraph" w:styleId="25">
    <w:name w:val="toc 3"/>
    <w:basedOn w:val="1"/>
    <w:next w:val="1"/>
    <w:qFormat/>
    <w:uiPriority w:val="0"/>
    <w:pPr>
      <w:ind w:left="480"/>
    </w:pPr>
    <w:rPr>
      <w:rFonts w:ascii="Calibri" w:hAnsi="Calibri" w:cs="Calibri"/>
      <w:i/>
      <w:iCs/>
      <w:sz w:val="20"/>
      <w:szCs w:val="20"/>
    </w:rPr>
  </w:style>
  <w:style w:type="paragraph" w:styleId="26">
    <w:name w:val="Plain Text"/>
    <w:basedOn w:val="1"/>
    <w:link w:val="77"/>
    <w:qFormat/>
    <w:uiPriority w:val="0"/>
    <w:pPr>
      <w:autoSpaceDE/>
      <w:autoSpaceDN/>
      <w:adjustRightInd/>
      <w:jc w:val="both"/>
    </w:pPr>
    <w:rPr>
      <w:rFonts w:hAnsi="Courier New"/>
      <w:kern w:val="2"/>
      <w:sz w:val="21"/>
      <w:szCs w:val="20"/>
    </w:rPr>
  </w:style>
  <w:style w:type="paragraph" w:styleId="27">
    <w:name w:val="toc 8"/>
    <w:basedOn w:val="1"/>
    <w:next w:val="1"/>
    <w:qFormat/>
    <w:uiPriority w:val="0"/>
    <w:pPr>
      <w:ind w:left="1680"/>
    </w:pPr>
    <w:rPr>
      <w:rFonts w:ascii="Calibri" w:hAnsi="Calibri" w:cs="Calibri"/>
      <w:sz w:val="18"/>
      <w:szCs w:val="18"/>
    </w:rPr>
  </w:style>
  <w:style w:type="paragraph" w:styleId="28">
    <w:name w:val="Date"/>
    <w:basedOn w:val="1"/>
    <w:next w:val="1"/>
    <w:qFormat/>
    <w:uiPriority w:val="0"/>
    <w:pPr>
      <w:ind w:left="100" w:leftChars="2500"/>
    </w:pPr>
    <w:rPr>
      <w:b/>
      <w:bCs/>
      <w:kern w:val="2"/>
      <w:sz w:val="21"/>
      <w:szCs w:val="21"/>
      <w:lang w:val="zh-CN"/>
    </w:rPr>
  </w:style>
  <w:style w:type="paragraph" w:styleId="29">
    <w:name w:val="Body Text Indent 2"/>
    <w:basedOn w:val="1"/>
    <w:qFormat/>
    <w:uiPriority w:val="0"/>
    <w:pPr>
      <w:tabs>
        <w:tab w:val="left" w:pos="8640"/>
      </w:tabs>
      <w:autoSpaceDE/>
      <w:autoSpaceDN/>
      <w:adjustRightInd/>
      <w:ind w:left="1260"/>
      <w:jc w:val="both"/>
    </w:pPr>
    <w:rPr>
      <w:kern w:val="2"/>
      <w:sz w:val="21"/>
      <w:szCs w:val="20"/>
    </w:rPr>
  </w:style>
  <w:style w:type="paragraph" w:styleId="30">
    <w:name w:val="Balloon Text"/>
    <w:basedOn w:val="1"/>
    <w:qFormat/>
    <w:uiPriority w:val="0"/>
    <w:pPr>
      <w:autoSpaceDE/>
      <w:autoSpaceDN/>
      <w:adjustRightInd/>
      <w:jc w:val="both"/>
    </w:pPr>
    <w:rPr>
      <w:rFonts w:ascii="Times New Roman"/>
      <w:kern w:val="2"/>
      <w:sz w:val="18"/>
      <w:szCs w:val="18"/>
    </w:rPr>
  </w:style>
  <w:style w:type="paragraph" w:styleId="31">
    <w:name w:val="footer"/>
    <w:basedOn w:val="1"/>
    <w:link w:val="91"/>
    <w:qFormat/>
    <w:uiPriority w:val="0"/>
    <w:pPr>
      <w:tabs>
        <w:tab w:val="center" w:pos="4153"/>
        <w:tab w:val="right" w:pos="8306"/>
      </w:tabs>
      <w:snapToGrid w:val="0"/>
    </w:pPr>
    <w:rPr>
      <w:rFonts w:hAnsi="Times New Roman"/>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pPr>
    <w:rPr>
      <w:rFonts w:ascii="Calibri" w:hAnsi="Calibri" w:cs="Calibri"/>
      <w:b/>
      <w:bCs/>
      <w:caps/>
      <w:sz w:val="20"/>
      <w:szCs w:val="20"/>
    </w:rPr>
  </w:style>
  <w:style w:type="paragraph" w:styleId="34">
    <w:name w:val="toc 4"/>
    <w:basedOn w:val="1"/>
    <w:next w:val="1"/>
    <w:qFormat/>
    <w:uiPriority w:val="0"/>
    <w:pPr>
      <w:ind w:left="720"/>
    </w:pPr>
    <w:rPr>
      <w:rFonts w:ascii="Calibri" w:hAnsi="Calibri" w:cs="Calibri"/>
      <w:sz w:val="18"/>
      <w:szCs w:val="18"/>
    </w:rPr>
  </w:style>
  <w:style w:type="paragraph" w:styleId="35">
    <w:name w:val="index heading"/>
    <w:basedOn w:val="1"/>
    <w:next w:val="36"/>
    <w:qFormat/>
    <w:uiPriority w:val="0"/>
    <w:pPr>
      <w:autoSpaceDE/>
      <w:autoSpaceDN/>
      <w:adjustRightInd/>
      <w:jc w:val="both"/>
    </w:pPr>
    <w:rPr>
      <w:rFonts w:ascii="Times New Roman"/>
      <w:kern w:val="2"/>
      <w:sz w:val="21"/>
      <w:szCs w:val="20"/>
    </w:rPr>
  </w:style>
  <w:style w:type="paragraph" w:styleId="36">
    <w:name w:val="index 1"/>
    <w:basedOn w:val="1"/>
    <w:next w:val="1"/>
    <w:qFormat/>
    <w:uiPriority w:val="0"/>
    <w:pPr>
      <w:autoSpaceDE/>
      <w:autoSpaceDN/>
      <w:adjustRightInd/>
      <w:ind w:left="540" w:leftChars="257"/>
      <w:jc w:val="both"/>
    </w:pPr>
    <w:rPr>
      <w:rFonts w:ascii="Arial" w:hAnsi="Arial" w:cs="Arial"/>
      <w:kern w:val="2"/>
      <w:sz w:val="21"/>
    </w:rPr>
  </w:style>
  <w:style w:type="paragraph" w:styleId="37">
    <w:name w:val="Subtitle"/>
    <w:basedOn w:val="1"/>
    <w:link w:val="92"/>
    <w:qFormat/>
    <w:uiPriority w:val="0"/>
    <w:pPr>
      <w:autoSpaceDE/>
      <w:autoSpaceDN/>
      <w:adjustRightInd/>
      <w:spacing w:before="240" w:beforeLines="0" w:after="60" w:afterLines="0" w:line="312" w:lineRule="auto"/>
      <w:jc w:val="center"/>
      <w:outlineLvl w:val="1"/>
    </w:pPr>
    <w:rPr>
      <w:rFonts w:ascii="Arial" w:hAnsi="Arial"/>
      <w:b/>
      <w:kern w:val="28"/>
      <w:sz w:val="32"/>
      <w:szCs w:val="20"/>
    </w:rPr>
  </w:style>
  <w:style w:type="paragraph" w:styleId="38">
    <w:name w:val="toc 6"/>
    <w:basedOn w:val="1"/>
    <w:next w:val="1"/>
    <w:qFormat/>
    <w:uiPriority w:val="0"/>
    <w:pPr>
      <w:ind w:left="1200"/>
    </w:pPr>
    <w:rPr>
      <w:rFonts w:ascii="Calibri" w:hAnsi="Calibri" w:cs="Calibri"/>
      <w:sz w:val="18"/>
      <w:szCs w:val="18"/>
    </w:rPr>
  </w:style>
  <w:style w:type="paragraph" w:styleId="39">
    <w:name w:val="Body Text Indent 3"/>
    <w:basedOn w:val="1"/>
    <w:qFormat/>
    <w:uiPriority w:val="0"/>
    <w:pPr>
      <w:spacing w:line="360" w:lineRule="auto"/>
      <w:ind w:firstLine="480" w:firstLineChars="200"/>
    </w:pPr>
  </w:style>
  <w:style w:type="paragraph" w:styleId="40">
    <w:name w:val="toc 2"/>
    <w:basedOn w:val="1"/>
    <w:next w:val="1"/>
    <w:qFormat/>
    <w:uiPriority w:val="0"/>
    <w:pPr>
      <w:ind w:left="240"/>
    </w:pPr>
    <w:rPr>
      <w:rFonts w:ascii="Calibri" w:hAnsi="Calibri" w:cs="Calibri"/>
      <w:smallCaps/>
      <w:sz w:val="20"/>
      <w:szCs w:val="20"/>
    </w:rPr>
  </w:style>
  <w:style w:type="paragraph" w:styleId="41">
    <w:name w:val="toc 9"/>
    <w:basedOn w:val="1"/>
    <w:next w:val="1"/>
    <w:qFormat/>
    <w:uiPriority w:val="0"/>
    <w:pPr>
      <w:ind w:left="1920"/>
    </w:pPr>
    <w:rPr>
      <w:rFonts w:ascii="Calibri" w:hAnsi="Calibri" w:cs="Calibri"/>
      <w:sz w:val="18"/>
      <w:szCs w:val="18"/>
    </w:rPr>
  </w:style>
  <w:style w:type="paragraph" w:styleId="42">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3">
    <w:name w:val="List 4"/>
    <w:basedOn w:val="1"/>
    <w:qFormat/>
    <w:uiPriority w:val="0"/>
    <w:pPr>
      <w:tabs>
        <w:tab w:val="left" w:pos="750"/>
      </w:tabs>
      <w:autoSpaceDE/>
      <w:autoSpaceDN/>
      <w:adjustRightInd/>
      <w:ind w:left="750" w:hanging="750"/>
      <w:jc w:val="both"/>
    </w:pPr>
    <w:rPr>
      <w:rFonts w:ascii="Times New Roman" w:hAnsi="Times New Roman" w:eastAsia="宋体" w:cs="Times New Roman"/>
      <w:b/>
      <w:kern w:val="2"/>
      <w:sz w:val="21"/>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5">
    <w:name w:val="Normal (Web)"/>
    <w:basedOn w:val="1"/>
    <w:qFormat/>
    <w:uiPriority w:val="0"/>
    <w:pPr>
      <w:widowControl/>
      <w:autoSpaceDE/>
      <w:autoSpaceDN/>
      <w:adjustRightInd/>
      <w:spacing w:before="100" w:beforeLines="0" w:beforeAutospacing="1" w:after="100" w:afterLines="0" w:afterAutospacing="1"/>
    </w:pPr>
    <w:rPr>
      <w:rFonts w:hAnsi="宋体"/>
      <w:sz w:val="15"/>
      <w:szCs w:val="15"/>
    </w:rPr>
  </w:style>
  <w:style w:type="paragraph" w:styleId="46">
    <w:name w:val="Title"/>
    <w:basedOn w:val="1"/>
    <w:next w:val="1"/>
    <w:qFormat/>
    <w:uiPriority w:val="0"/>
    <w:pPr>
      <w:numPr>
        <w:ilvl w:val="0"/>
        <w:numId w:val="3"/>
      </w:numPr>
      <w:tabs>
        <w:tab w:val="clear" w:pos="2121"/>
      </w:tabs>
      <w:autoSpaceDE/>
      <w:autoSpaceDN/>
      <w:snapToGrid w:val="0"/>
      <w:spacing w:before="156" w:beforeLines="50" w:after="156" w:afterLines="50"/>
      <w:ind w:left="0" w:firstLine="0"/>
      <w:jc w:val="center"/>
      <w:outlineLvl w:val="0"/>
    </w:pPr>
    <w:rPr>
      <w:rFonts w:ascii="Arial" w:hAnsi="Arial" w:cs="Arial"/>
      <w:b/>
      <w:bCs/>
      <w:kern w:val="2"/>
      <w:sz w:val="52"/>
      <w:szCs w:val="32"/>
    </w:rPr>
  </w:style>
  <w:style w:type="paragraph" w:styleId="47">
    <w:name w:val="annotation subject"/>
    <w:basedOn w:val="18"/>
    <w:next w:val="18"/>
    <w:qFormat/>
    <w:uiPriority w:val="0"/>
    <w:rPr>
      <w:b/>
      <w:bCs/>
    </w:rPr>
  </w:style>
  <w:style w:type="paragraph" w:styleId="48">
    <w:name w:val="Body Text First Indent"/>
    <w:basedOn w:val="20"/>
    <w:qFormat/>
    <w:uiPriority w:val="0"/>
    <w:pPr>
      <w:widowControl/>
      <w:autoSpaceDE/>
      <w:autoSpaceDN/>
      <w:adjustRightInd/>
      <w:spacing w:after="120" w:afterLines="0"/>
      <w:ind w:right="0" w:firstLine="420" w:firstLineChars="100"/>
      <w:jc w:val="left"/>
    </w:pPr>
    <w:rPr>
      <w:rFonts w:ascii="Times New Roman"/>
      <w:b w:val="0"/>
      <w:bCs w:val="0"/>
      <w:kern w:val="0"/>
      <w:sz w:val="21"/>
      <w:szCs w:val="20"/>
      <w:lang w:val="en-US"/>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333333"/>
      <w:u w:val="none"/>
    </w:rPr>
  </w:style>
  <w:style w:type="character" w:styleId="55">
    <w:name w:val="Emphasis"/>
    <w:qFormat/>
    <w:uiPriority w:val="0"/>
    <w:rPr>
      <w:i/>
      <w:iCs/>
    </w:rPr>
  </w:style>
  <w:style w:type="character" w:styleId="56">
    <w:name w:val="HTML Definition"/>
    <w:qFormat/>
    <w:uiPriority w:val="0"/>
    <w:rPr>
      <w:i/>
    </w:rPr>
  </w:style>
  <w:style w:type="character" w:styleId="57">
    <w:name w:val="Hyperlink"/>
    <w:qFormat/>
    <w:uiPriority w:val="0"/>
    <w:rPr>
      <w:color w:val="333333"/>
      <w:u w:val="none"/>
    </w:rPr>
  </w:style>
  <w:style w:type="character" w:styleId="58">
    <w:name w:val="HTML Code"/>
    <w:qFormat/>
    <w:uiPriority w:val="0"/>
    <w:rPr>
      <w:rFonts w:ascii="Consolas" w:hAnsi="Consolas" w:eastAsia="Consolas" w:cs="Consolas"/>
      <w:color w:val="C7254E"/>
      <w:sz w:val="21"/>
      <w:szCs w:val="21"/>
      <w:shd w:val="clear" w:color="auto" w:fill="F9F2F4"/>
    </w:rPr>
  </w:style>
  <w:style w:type="character" w:styleId="59">
    <w:name w:val="annotation reference"/>
    <w:qFormat/>
    <w:uiPriority w:val="0"/>
    <w:rPr>
      <w:sz w:val="21"/>
      <w:szCs w:val="21"/>
    </w:rPr>
  </w:style>
  <w:style w:type="character" w:styleId="60">
    <w:name w:val="HTML Keyboard"/>
    <w:qFormat/>
    <w:uiPriority w:val="0"/>
    <w:rPr>
      <w:rFonts w:hint="default" w:ascii="Consolas" w:hAnsi="Consolas" w:eastAsia="Consolas" w:cs="Consolas"/>
      <w:b/>
      <w:color w:val="FFFFFF"/>
      <w:sz w:val="21"/>
      <w:szCs w:val="21"/>
      <w:shd w:val="clear" w:color="auto" w:fill="333333"/>
    </w:rPr>
  </w:style>
  <w:style w:type="character" w:styleId="61">
    <w:name w:val="HTML Sample"/>
    <w:qFormat/>
    <w:uiPriority w:val="0"/>
    <w:rPr>
      <w:rFonts w:hint="default" w:ascii="Consolas" w:hAnsi="Consolas" w:eastAsia="Consolas" w:cs="Consolas"/>
      <w:sz w:val="21"/>
      <w:szCs w:val="21"/>
    </w:rPr>
  </w:style>
  <w:style w:type="character" w:customStyle="1" w:styleId="62">
    <w:name w:val="font81"/>
    <w:qFormat/>
    <w:uiPriority w:val="0"/>
    <w:rPr>
      <w:rFonts w:hint="eastAsia" w:ascii="宋体" w:hAnsi="宋体" w:eastAsia="宋体" w:cs="宋体"/>
      <w:b/>
      <w:color w:val="000000"/>
      <w:sz w:val="20"/>
      <w:szCs w:val="20"/>
      <w:u w:val="none"/>
    </w:rPr>
  </w:style>
  <w:style w:type="character" w:customStyle="1" w:styleId="63">
    <w:name w:val="s1"/>
    <w:qFormat/>
    <w:uiPriority w:val="0"/>
    <w:rPr>
      <w:rFonts w:ascii="Helvetica" w:hAnsi="Helvetica" w:eastAsia="Helvetica" w:cs="Helvetica"/>
      <w:sz w:val="24"/>
      <w:szCs w:val="24"/>
    </w:rPr>
  </w:style>
  <w:style w:type="character" w:customStyle="1" w:styleId="64">
    <w:name w:val="font351"/>
    <w:qFormat/>
    <w:uiPriority w:val="0"/>
    <w:rPr>
      <w:rFonts w:hint="eastAsia" w:ascii="宋体" w:hAnsi="宋体" w:eastAsia="宋体" w:cs="宋体"/>
      <w:color w:val="000000"/>
      <w:sz w:val="18"/>
      <w:szCs w:val="18"/>
      <w:u w:val="none"/>
    </w:rPr>
  </w:style>
  <w:style w:type="character" w:customStyle="1" w:styleId="65">
    <w:name w:val="after1"/>
    <w:qFormat/>
    <w:uiPriority w:val="0"/>
    <w:rPr>
      <w:color w:val="2F74A8"/>
    </w:rPr>
  </w:style>
  <w:style w:type="character" w:customStyle="1" w:styleId="66">
    <w:name w:val="fc_ch1"/>
    <w:qFormat/>
    <w:uiPriority w:val="0"/>
    <w:rPr>
      <w:bdr w:val="single" w:color="999999" w:sz="6" w:space="0"/>
    </w:rPr>
  </w:style>
  <w:style w:type="character" w:customStyle="1" w:styleId="67">
    <w:name w:val="font31"/>
    <w:qFormat/>
    <w:uiPriority w:val="0"/>
    <w:rPr>
      <w:rFonts w:hint="eastAsia" w:ascii="宋体" w:hAnsi="宋体" w:eastAsia="宋体" w:cs="宋体"/>
      <w:color w:val="000000"/>
      <w:sz w:val="20"/>
      <w:szCs w:val="20"/>
      <w:u w:val="none"/>
    </w:rPr>
  </w:style>
  <w:style w:type="character" w:customStyle="1" w:styleId="68">
    <w:name w:val="fc_hui21"/>
    <w:qFormat/>
    <w:uiPriority w:val="0"/>
    <w:rPr>
      <w:bdr w:val="single" w:color="999999" w:sz="6" w:space="0"/>
    </w:rPr>
  </w:style>
  <w:style w:type="character" w:customStyle="1" w:styleId="69">
    <w:name w:val="ads"/>
    <w:qFormat/>
    <w:uiPriority w:val="0"/>
    <w:rPr>
      <w:color w:val="999999"/>
      <w:sz w:val="18"/>
      <w:szCs w:val="18"/>
    </w:rPr>
  </w:style>
  <w:style w:type="character" w:customStyle="1" w:styleId="70">
    <w:name w:val="f141"/>
    <w:qFormat/>
    <w:uiPriority w:val="0"/>
    <w:rPr>
      <w:sz w:val="21"/>
      <w:szCs w:val="21"/>
    </w:rPr>
  </w:style>
  <w:style w:type="character" w:customStyle="1" w:styleId="71">
    <w:name w:val="font11"/>
    <w:qFormat/>
    <w:uiPriority w:val="0"/>
    <w:rPr>
      <w:rFonts w:hint="eastAsia" w:ascii="宋体" w:hAnsi="宋体" w:eastAsia="宋体" w:cs="宋体"/>
      <w:color w:val="000000"/>
      <w:sz w:val="21"/>
      <w:szCs w:val="21"/>
      <w:u w:val="none"/>
    </w:rPr>
  </w:style>
  <w:style w:type="character" w:customStyle="1" w:styleId="72">
    <w:name w:val="neir1"/>
    <w:qFormat/>
    <w:uiPriority w:val="0"/>
    <w:rPr>
      <w:rFonts w:hint="default" w:ascii="ˎ̥" w:hAnsi="ˎ̥" w:eastAsia="宋体" w:cs="Times New Roman"/>
      <w:color w:val="333333"/>
      <w:sz w:val="21"/>
      <w:szCs w:val="21"/>
      <w:u w:val="none"/>
    </w:rPr>
  </w:style>
  <w:style w:type="character" w:customStyle="1" w:styleId="73">
    <w:name w:val="页脚 Char Char"/>
    <w:qFormat/>
    <w:uiPriority w:val="0"/>
    <w:rPr>
      <w:rFonts w:ascii="宋体"/>
      <w:sz w:val="18"/>
      <w:szCs w:val="18"/>
    </w:rPr>
  </w:style>
  <w:style w:type="character" w:customStyle="1" w:styleId="74">
    <w:name w:val="bold1"/>
    <w:qFormat/>
    <w:uiPriority w:val="0"/>
    <w:rPr>
      <w:sz w:val="32"/>
    </w:rPr>
  </w:style>
  <w:style w:type="character" w:customStyle="1" w:styleId="75">
    <w:name w:val="share"/>
    <w:basedOn w:val="51"/>
    <w:qFormat/>
    <w:uiPriority w:val="0"/>
  </w:style>
  <w:style w:type="character" w:customStyle="1" w:styleId="76">
    <w:name w:val="fc_hui2"/>
    <w:qFormat/>
    <w:uiPriority w:val="0"/>
    <w:rPr>
      <w:bdr w:val="single" w:color="999999" w:sz="6" w:space="0"/>
    </w:rPr>
  </w:style>
  <w:style w:type="character" w:customStyle="1" w:styleId="77">
    <w:name w:val="纯文本 字符"/>
    <w:link w:val="26"/>
    <w:qFormat/>
    <w:uiPriority w:val="0"/>
    <w:rPr>
      <w:rFonts w:ascii="宋体" w:hAnsi="Courier New" w:eastAsia="宋体" w:cs="Times New Roman"/>
      <w:kern w:val="2"/>
      <w:sz w:val="21"/>
      <w:lang w:val="en-US" w:eastAsia="zh-CN" w:bidi="ar-SA"/>
    </w:rPr>
  </w:style>
  <w:style w:type="character" w:customStyle="1" w:styleId="78">
    <w:name w:val="页眉 字符"/>
    <w:link w:val="32"/>
    <w:qFormat/>
    <w:uiPriority w:val="0"/>
    <w:rPr>
      <w:rFonts w:ascii="宋体"/>
      <w:sz w:val="18"/>
      <w:szCs w:val="18"/>
    </w:rPr>
  </w:style>
  <w:style w:type="character" w:customStyle="1" w:styleId="79">
    <w:name w:val="cur"/>
    <w:qFormat/>
    <w:uiPriority w:val="0"/>
    <w:rPr>
      <w:b/>
      <w:color w:val="023E6E"/>
      <w:bdr w:val="single" w:color="DCDCDC" w:sz="6" w:space="0"/>
      <w:shd w:val="clear" w:color="auto" w:fill="FFFFFF"/>
    </w:rPr>
  </w:style>
  <w:style w:type="character" w:customStyle="1" w:styleId="80">
    <w:name w:val="HTML 预设格式 字符"/>
    <w:link w:val="44"/>
    <w:qFormat/>
    <w:uiPriority w:val="0"/>
    <w:rPr>
      <w:rFonts w:ascii="Arial" w:hAnsi="Arial" w:eastAsia="宋体" w:cs="Arial"/>
      <w:sz w:val="21"/>
      <w:szCs w:val="21"/>
      <w:lang w:val="en-US" w:eastAsia="zh-CN" w:bidi="ar-SA"/>
    </w:rPr>
  </w:style>
  <w:style w:type="character" w:customStyle="1" w:styleId="81">
    <w:name w:val="正文缩进2格 Char Char"/>
    <w:link w:val="82"/>
    <w:qFormat/>
    <w:uiPriority w:val="0"/>
    <w:rPr>
      <w:rFonts w:ascii="仿宋_GB2312" w:hAnsi="宋体" w:eastAsia="仿宋_GB2312"/>
      <w:kern w:val="2"/>
      <w:sz w:val="31"/>
      <w:szCs w:val="28"/>
      <w:lang w:val="en-US" w:eastAsia="zh-CN" w:bidi="ar-SA"/>
    </w:rPr>
  </w:style>
  <w:style w:type="paragraph" w:customStyle="1" w:styleId="82">
    <w:name w:val="正文缩进2格"/>
    <w:basedOn w:val="1"/>
    <w:link w:val="81"/>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83">
    <w:name w:val="font321"/>
    <w:qFormat/>
    <w:uiPriority w:val="0"/>
    <w:rPr>
      <w:rFonts w:hint="default" w:ascii="Times New Roman" w:hAnsi="Times New Roman" w:cs="Times New Roman"/>
      <w:color w:val="000000"/>
      <w:sz w:val="18"/>
      <w:szCs w:val="18"/>
      <w:u w:val="none"/>
    </w:rPr>
  </w:style>
  <w:style w:type="character" w:customStyle="1" w:styleId="84">
    <w:name w:val="font21"/>
    <w:qFormat/>
    <w:uiPriority w:val="0"/>
    <w:rPr>
      <w:rFonts w:hint="eastAsia" w:ascii="宋体" w:hAnsi="宋体" w:eastAsia="宋体" w:cs="宋体"/>
      <w:color w:val="000000"/>
      <w:sz w:val="20"/>
      <w:szCs w:val="20"/>
      <w:u w:val="none"/>
    </w:rPr>
  </w:style>
  <w:style w:type="character" w:customStyle="1" w:styleId="85">
    <w:name w:val="after"/>
    <w:qFormat/>
    <w:uiPriority w:val="0"/>
    <w:rPr>
      <w:shd w:val="clear" w:color="auto" w:fill="FFFFFF"/>
    </w:rPr>
  </w:style>
  <w:style w:type="character" w:customStyle="1" w:styleId="86">
    <w:name w:val="meuncn1"/>
    <w:qFormat/>
    <w:uiPriority w:val="0"/>
    <w:rPr>
      <w:rFonts w:hint="eastAsia" w:ascii="宋体" w:hAnsi="宋体" w:eastAsia="宋体"/>
      <w:color w:val="666666"/>
      <w:sz w:val="18"/>
      <w:u w:val="none"/>
    </w:rPr>
  </w:style>
  <w:style w:type="character" w:customStyle="1" w:styleId="87">
    <w:name w:val="font331"/>
    <w:qFormat/>
    <w:uiPriority w:val="0"/>
    <w:rPr>
      <w:rFonts w:hint="default" w:ascii="Times New Roman" w:hAnsi="Times New Roman" w:cs="Times New Roman"/>
      <w:color w:val="000000"/>
      <w:sz w:val="18"/>
      <w:szCs w:val="18"/>
      <w:u w:val="none"/>
    </w:rPr>
  </w:style>
  <w:style w:type="character" w:customStyle="1" w:styleId="88">
    <w:name w:val="标题 1 字符"/>
    <w:link w:val="3"/>
    <w:qFormat/>
    <w:uiPriority w:val="0"/>
  </w:style>
  <w:style w:type="character" w:customStyle="1" w:styleId="89">
    <w:name w:val="正文缩进 字符"/>
    <w:link w:val="12"/>
    <w:qFormat/>
    <w:uiPriority w:val="0"/>
    <w:rPr>
      <w:rFonts w:eastAsia="宋体"/>
      <w:lang w:val="en-US" w:eastAsia="zh-CN" w:bidi="ar-SA"/>
    </w:rPr>
  </w:style>
  <w:style w:type="character" w:customStyle="1" w:styleId="90">
    <w:name w:val="正文文本 字符"/>
    <w:link w:val="20"/>
    <w:qFormat/>
    <w:uiPriority w:val="0"/>
    <w:rPr>
      <w:rFonts w:ascii="宋体" w:hAnsi="Times New Roman" w:eastAsia="宋体" w:cs="Times New Roman"/>
      <w:b/>
      <w:bCs/>
      <w:kern w:val="2"/>
      <w:sz w:val="84"/>
      <w:szCs w:val="84"/>
      <w:lang w:val="zh-CN" w:eastAsia="zh-CN" w:bidi="ar-SA"/>
    </w:rPr>
  </w:style>
  <w:style w:type="character" w:customStyle="1" w:styleId="91">
    <w:name w:val="页脚 字符"/>
    <w:link w:val="31"/>
    <w:qFormat/>
    <w:uiPriority w:val="0"/>
    <w:rPr>
      <w:rFonts w:ascii="宋体" w:hAnsi="Times New Roman" w:eastAsia="宋体" w:cs="Times New Roman"/>
      <w:sz w:val="18"/>
      <w:szCs w:val="18"/>
      <w:lang w:val="en-US" w:eastAsia="zh-CN" w:bidi="ar-SA"/>
    </w:rPr>
  </w:style>
  <w:style w:type="character" w:customStyle="1" w:styleId="92">
    <w:name w:val="副标题 字符"/>
    <w:link w:val="37"/>
    <w:qFormat/>
    <w:uiPriority w:val="0"/>
    <w:rPr>
      <w:rFonts w:ascii="Arial" w:hAnsi="Arial"/>
      <w:b/>
      <w:kern w:val="28"/>
      <w:sz w:val="32"/>
    </w:rPr>
  </w:style>
  <w:style w:type="character" w:customStyle="1" w:styleId="93">
    <w:name w:val="font212"/>
    <w:qFormat/>
    <w:uiPriority w:val="0"/>
    <w:rPr>
      <w:rFonts w:hint="eastAsia" w:ascii="宋体" w:hAnsi="宋体" w:eastAsia="宋体" w:cs="宋体"/>
      <w:b/>
      <w:color w:val="000000"/>
      <w:sz w:val="20"/>
      <w:szCs w:val="20"/>
      <w:u w:val="none"/>
    </w:rPr>
  </w:style>
  <w:style w:type="character" w:customStyle="1" w:styleId="94">
    <w:name w:val="小 Char"/>
    <w:qFormat/>
    <w:uiPriority w:val="0"/>
    <w:rPr>
      <w:rFonts w:ascii="宋体" w:hAnsi="Courier New" w:eastAsia="宋体" w:cs="Times New Roman"/>
      <w:kern w:val="2"/>
      <w:sz w:val="21"/>
      <w:lang w:val="en-US" w:eastAsia="zh-CN" w:bidi="ar-SA"/>
    </w:rPr>
  </w:style>
  <w:style w:type="character" w:customStyle="1" w:styleId="95">
    <w:name w:val="p105"/>
    <w:basedOn w:val="51"/>
    <w:qFormat/>
    <w:uiPriority w:val="0"/>
  </w:style>
  <w:style w:type="character" w:customStyle="1" w:styleId="96">
    <w:name w:val="HTML Markup"/>
    <w:qFormat/>
    <w:uiPriority w:val="0"/>
    <w:rPr>
      <w:rFonts w:ascii="Times New Roman" w:hAnsi="Times New Roman" w:eastAsia="宋体" w:cs="Times New Roman"/>
      <w:vanish/>
      <w:color w:val="FF0000"/>
    </w:rPr>
  </w:style>
  <w:style w:type="character" w:customStyle="1" w:styleId="97">
    <w:name w:val="font71"/>
    <w:qFormat/>
    <w:uiPriority w:val="0"/>
    <w:rPr>
      <w:rFonts w:hint="eastAsia" w:ascii="宋体" w:hAnsi="宋体" w:eastAsia="宋体" w:cs="宋体"/>
      <w:color w:val="000000"/>
      <w:sz w:val="18"/>
      <w:szCs w:val="18"/>
      <w:u w:val="none"/>
    </w:rPr>
  </w:style>
  <w:style w:type="character" w:customStyle="1" w:styleId="98">
    <w:name w:val="fc_ch11"/>
    <w:qFormat/>
    <w:uiPriority w:val="0"/>
    <w:rPr>
      <w:bdr w:val="single" w:color="999999" w:sz="6" w:space="0"/>
    </w:rPr>
  </w:style>
  <w:style w:type="character" w:customStyle="1" w:styleId="99">
    <w:name w:val="style61"/>
    <w:qFormat/>
    <w:uiPriority w:val="0"/>
    <w:rPr>
      <w:b/>
      <w:bCs/>
    </w:rPr>
  </w:style>
  <w:style w:type="character" w:customStyle="1" w:styleId="100">
    <w:name w:val="keyfeatures1"/>
    <w:qFormat/>
    <w:uiPriority w:val="0"/>
    <w:rPr>
      <w:rFonts w:hint="default" w:ascii="Arial" w:hAnsi="Arial" w:cs="Arial"/>
      <w:color w:val="003366"/>
      <w:sz w:val="17"/>
      <w:szCs w:val="17"/>
      <w:u w:val="none"/>
    </w:rPr>
  </w:style>
  <w:style w:type="character" w:customStyle="1" w:styleId="101">
    <w:name w:val="纯文本 Char Char"/>
    <w:qFormat/>
    <w:uiPriority w:val="0"/>
    <w:rPr>
      <w:rFonts w:ascii="宋体" w:hAnsi="Courier New" w:eastAsia="宋体"/>
      <w:kern w:val="2"/>
      <w:sz w:val="21"/>
      <w:lang w:val="en-US" w:eastAsia="zh-CN" w:bidi="ar-SA"/>
    </w:rPr>
  </w:style>
  <w:style w:type="character" w:customStyle="1" w:styleId="102">
    <w:name w:val="font51"/>
    <w:qFormat/>
    <w:uiPriority w:val="0"/>
    <w:rPr>
      <w:rFonts w:hint="eastAsia" w:ascii="宋体" w:hAnsi="宋体" w:eastAsia="宋体" w:cs="宋体"/>
      <w:color w:val="000000"/>
      <w:sz w:val="20"/>
      <w:szCs w:val="20"/>
      <w:u w:val="none"/>
    </w:rPr>
  </w:style>
  <w:style w:type="character" w:customStyle="1" w:styleId="103">
    <w:name w:val="font141"/>
    <w:qFormat/>
    <w:uiPriority w:val="0"/>
    <w:rPr>
      <w:rFonts w:hint="eastAsia" w:ascii="宋体" w:hAnsi="宋体" w:eastAsia="宋体" w:cs="宋体"/>
      <w:b/>
      <w:color w:val="000000"/>
      <w:sz w:val="20"/>
      <w:szCs w:val="20"/>
      <w:u w:val="none"/>
    </w:rPr>
  </w:style>
  <w:style w:type="character" w:customStyle="1" w:styleId="104">
    <w:name w:val="Highlighted Variable"/>
    <w:qFormat/>
    <w:uiPriority w:val="0"/>
    <w:rPr>
      <w:color w:val="000000"/>
    </w:rPr>
  </w:style>
  <w:style w:type="character" w:customStyle="1" w:styleId="105">
    <w:name w:val="font41"/>
    <w:qFormat/>
    <w:uiPriority w:val="0"/>
    <w:rPr>
      <w:rFonts w:hint="eastAsia" w:ascii="宋体" w:hAnsi="宋体" w:eastAsia="宋体" w:cs="宋体"/>
      <w:color w:val="000000"/>
      <w:sz w:val="20"/>
      <w:szCs w:val="20"/>
      <w:u w:val="none"/>
    </w:rPr>
  </w:style>
  <w:style w:type="character" w:customStyle="1" w:styleId="106">
    <w:name w:val="DAS正文 Char Char"/>
    <w:qFormat/>
    <w:uiPriority w:val="0"/>
    <w:rPr>
      <w:rFonts w:ascii="Verdana" w:hAnsi="Verdana" w:eastAsia="宋体"/>
      <w:kern w:val="2"/>
      <w:sz w:val="21"/>
      <w:szCs w:val="21"/>
      <w:lang w:val="en-US" w:eastAsia="zh-CN" w:bidi="ar-SA"/>
    </w:rPr>
  </w:style>
  <w:style w:type="character" w:customStyle="1" w:styleId="107">
    <w:name w:val="on"/>
    <w:qFormat/>
    <w:uiPriority w:val="0"/>
    <w:rPr>
      <w:color w:val="FFFFFF"/>
      <w:shd w:val="clear" w:color="auto" w:fill="333333"/>
    </w:rPr>
  </w:style>
  <w:style w:type="character" w:customStyle="1" w:styleId="108">
    <w:name w:val="font01"/>
    <w:qFormat/>
    <w:uiPriority w:val="0"/>
    <w:rPr>
      <w:rFonts w:hint="eastAsia" w:ascii="宋体" w:hAnsi="宋体" w:eastAsia="宋体" w:cs="宋体"/>
      <w:color w:val="000000"/>
      <w:sz w:val="24"/>
      <w:szCs w:val="24"/>
      <w:u w:val="none"/>
    </w:rPr>
  </w:style>
  <w:style w:type="character" w:customStyle="1" w:styleId="109">
    <w:name w:val="wctjfont1"/>
    <w:qFormat/>
    <w:uiPriority w:val="0"/>
    <w:rPr>
      <w:sz w:val="18"/>
    </w:rPr>
  </w:style>
  <w:style w:type="character" w:customStyle="1" w:styleId="110">
    <w:name w:val="font221"/>
    <w:qFormat/>
    <w:uiPriority w:val="0"/>
    <w:rPr>
      <w:rFonts w:hint="eastAsia" w:ascii="宋体" w:hAnsi="宋体" w:eastAsia="宋体" w:cs="宋体"/>
      <w:b/>
      <w:color w:val="000000"/>
      <w:sz w:val="20"/>
      <w:szCs w:val="20"/>
      <w:u w:val="none"/>
    </w:rPr>
  </w:style>
  <w:style w:type="character" w:customStyle="1" w:styleId="111">
    <w:name w:val="标题 3.1 Char Char"/>
    <w:link w:val="112"/>
    <w:qFormat/>
    <w:uiPriority w:val="0"/>
    <w:rPr>
      <w:rFonts w:ascii="宋体" w:hAnsi="宋体"/>
      <w:b/>
      <w:bCs/>
      <w:kern w:val="2"/>
      <w:sz w:val="32"/>
      <w:szCs w:val="32"/>
    </w:rPr>
  </w:style>
  <w:style w:type="paragraph" w:customStyle="1" w:styleId="112">
    <w:name w:val="标题 3.1"/>
    <w:basedOn w:val="4"/>
    <w:link w:val="111"/>
    <w:qFormat/>
    <w:uiPriority w:val="0"/>
    <w:pPr>
      <w:keepNext/>
      <w:keepLines/>
      <w:tabs>
        <w:tab w:val="left" w:pos="1440"/>
        <w:tab w:val="left" w:pos="1620"/>
      </w:tabs>
      <w:autoSpaceDE/>
      <w:autoSpaceDN/>
      <w:adjustRightInd/>
      <w:spacing w:before="260" w:beforeLines="0" w:after="260" w:afterLines="0" w:line="600" w:lineRule="exact"/>
      <w:jc w:val="both"/>
    </w:pPr>
    <w:rPr>
      <w:rFonts w:hAnsi="宋体"/>
      <w:b/>
      <w:bCs/>
      <w:kern w:val="2"/>
      <w:sz w:val="32"/>
      <w:szCs w:val="32"/>
    </w:rPr>
  </w:style>
  <w:style w:type="character" w:customStyle="1" w:styleId="113">
    <w:name w:val="font61"/>
    <w:qFormat/>
    <w:uiPriority w:val="0"/>
    <w:rPr>
      <w:rFonts w:hint="eastAsia" w:ascii="宋体" w:hAnsi="宋体" w:eastAsia="宋体" w:cs="宋体"/>
      <w:color w:val="000000"/>
      <w:sz w:val="24"/>
      <w:szCs w:val="24"/>
      <w:u w:val="none"/>
    </w:rPr>
  </w:style>
  <w:style w:type="paragraph" w:customStyle="1" w:styleId="114">
    <w:name w:val="题注5"/>
    <w:basedOn w:val="1"/>
    <w:next w:val="13"/>
    <w:qFormat/>
    <w:uiPriority w:val="0"/>
    <w:pPr>
      <w:autoSpaceDE/>
      <w:autoSpaceDN/>
      <w:adjustRightInd/>
      <w:jc w:val="center"/>
    </w:pPr>
    <w:rPr>
      <w:rFonts w:ascii="Times New Roman"/>
      <w:b/>
      <w:color w:val="000000"/>
      <w:kern w:val="2"/>
      <w:szCs w:val="21"/>
    </w:rPr>
  </w:style>
  <w:style w:type="paragraph" w:customStyle="1" w:styleId="115">
    <w:name w:val=" Char2"/>
    <w:basedOn w:val="1"/>
    <w:qFormat/>
    <w:uiPriority w:val="0"/>
    <w:pPr>
      <w:widowControl/>
      <w:autoSpaceDE/>
      <w:autoSpaceDN/>
      <w:adjustRightInd/>
      <w:spacing w:after="160" w:afterLines="0" w:line="240" w:lineRule="exact"/>
    </w:pPr>
    <w:rPr>
      <w:rFonts w:ascii="Verdana" w:hAnsi="Verdana" w:eastAsia="仿宋_GB2312"/>
      <w:szCs w:val="20"/>
      <w:lang w:eastAsia="en-US"/>
    </w:rPr>
  </w:style>
  <w:style w:type="paragraph" w:customStyle="1" w:styleId="116">
    <w:name w:val="font5"/>
    <w:basedOn w:val="1"/>
    <w:qFormat/>
    <w:uiPriority w:val="0"/>
    <w:pPr>
      <w:widowControl/>
      <w:autoSpaceDE/>
      <w:autoSpaceDN/>
      <w:adjustRightInd/>
      <w:spacing w:before="100" w:beforeLines="0" w:beforeAutospacing="1" w:after="100" w:afterLines="0" w:afterAutospacing="1"/>
    </w:pPr>
    <w:rPr>
      <w:rFonts w:hint="eastAsia" w:hAnsi="宋体"/>
      <w:sz w:val="18"/>
      <w:szCs w:val="20"/>
    </w:rPr>
  </w:style>
  <w:style w:type="paragraph" w:customStyle="1" w:styleId="117">
    <w:name w:val="样式 我的标题 + 两端对齐"/>
    <w:basedOn w:val="3"/>
    <w:qFormat/>
    <w:uiPriority w:val="0"/>
    <w:pPr>
      <w:keepNext/>
      <w:keepLines/>
      <w:autoSpaceDE/>
      <w:autoSpaceDN/>
      <w:adjustRightInd/>
      <w:spacing w:before="340" w:beforeLines="0" w:after="330" w:afterLines="0" w:line="578" w:lineRule="auto"/>
      <w:jc w:val="center"/>
    </w:pPr>
    <w:rPr>
      <w:rFonts w:ascii="Times New Roman" w:cs="宋体"/>
      <w:b/>
      <w:bCs/>
      <w:kern w:val="44"/>
      <w:sz w:val="32"/>
      <w:szCs w:val="20"/>
    </w:rPr>
  </w:style>
  <w:style w:type="paragraph" w:customStyle="1" w:styleId="118">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styleId="119">
    <w:name w:val="List Paragraph"/>
    <w:basedOn w:val="1"/>
    <w:qFormat/>
    <w:uiPriority w:val="0"/>
    <w:pPr>
      <w:autoSpaceDE/>
      <w:autoSpaceDN/>
      <w:adjustRightInd/>
      <w:ind w:firstLine="420" w:firstLineChars="200"/>
      <w:jc w:val="both"/>
    </w:pPr>
    <w:rPr>
      <w:rFonts w:ascii="Calibri" w:hAnsi="Calibri"/>
      <w:kern w:val="2"/>
      <w:sz w:val="21"/>
    </w:rPr>
  </w:style>
  <w:style w:type="paragraph" w:customStyle="1" w:styleId="120">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1">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22">
    <w:name w:val="正文缩进6格"/>
    <w:basedOn w:val="123"/>
    <w:qFormat/>
    <w:uiPriority w:val="0"/>
    <w:pPr>
      <w:ind w:left="1758" w:leftChars="854"/>
    </w:pPr>
  </w:style>
  <w:style w:type="paragraph" w:customStyle="1" w:styleId="123">
    <w:name w:val="正文缩进4格"/>
    <w:basedOn w:val="82"/>
    <w:qFormat/>
    <w:uiPriority w:val="0"/>
    <w:pPr>
      <w:ind w:left="651" w:leftChars="310" w:firstLine="608" w:firstLineChars="196"/>
    </w:pPr>
    <w:rPr>
      <w:color w:val="000000"/>
    </w:rPr>
  </w:style>
  <w:style w:type="paragraph" w:customStyle="1" w:styleId="124">
    <w:name w:val="表正文"/>
    <w:basedOn w:val="1"/>
    <w:next w:val="23"/>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jc w:val="center"/>
      <w:textAlignment w:val="center"/>
    </w:pPr>
    <w:rPr>
      <w:rFonts w:ascii="Arial Unicode MS" w:hAnsi="Arial Unicode MS" w:eastAsia="Arial Unicode MS"/>
      <w:sz w:val="20"/>
      <w:szCs w:val="20"/>
    </w:rPr>
  </w:style>
  <w:style w:type="paragraph" w:customStyle="1" w:styleId="126">
    <w:name w:val="xl26"/>
    <w:basedOn w:val="1"/>
    <w:qFormat/>
    <w:uiPriority w:val="0"/>
    <w:pPr>
      <w:widowControl/>
      <w:autoSpaceDE/>
      <w:autoSpaceDN/>
      <w:adjustRightInd/>
      <w:spacing w:before="100" w:beforeLines="0" w:beforeAutospacing="1" w:after="100" w:afterLines="0" w:afterAutospacing="1"/>
      <w:jc w:val="center"/>
    </w:pPr>
    <w:rPr>
      <w:rFonts w:hint="eastAsia" w:ascii="仿宋_GB2312" w:hAnsi="宋体" w:eastAsia="仿宋_GB2312"/>
    </w:rPr>
  </w:style>
  <w:style w:type="paragraph" w:customStyle="1" w:styleId="127">
    <w:name w:val="表格正文"/>
    <w:basedOn w:val="1"/>
    <w:qFormat/>
    <w:uiPriority w:val="0"/>
    <w:pPr>
      <w:widowControl/>
      <w:overflowPunct w:val="0"/>
      <w:spacing w:before="312" w:beforeLines="0" w:after="312" w:afterLines="0" w:line="360" w:lineRule="auto"/>
      <w:textAlignment w:val="baseline"/>
    </w:pPr>
    <w:rPr>
      <w:rFonts w:hAnsi="Tahoma"/>
      <w:szCs w:val="20"/>
    </w:rPr>
  </w:style>
  <w:style w:type="paragraph" w:customStyle="1" w:styleId="128">
    <w:name w:val="Char Char1"/>
    <w:basedOn w:val="1"/>
    <w:qFormat/>
    <w:uiPriority w:val="0"/>
    <w:pPr>
      <w:widowControl/>
      <w:autoSpaceDE/>
      <w:autoSpaceDN/>
      <w:adjustRightInd/>
      <w:spacing w:after="160" w:afterLines="0" w:line="240" w:lineRule="exact"/>
    </w:pPr>
    <w:rPr>
      <w:rFonts w:ascii="Verdana" w:hAnsi="Verdana" w:eastAsia="楷体_GB2312"/>
      <w:b/>
      <w:i/>
      <w:iCs/>
      <w:color w:val="000000"/>
      <w:sz w:val="20"/>
      <w:szCs w:val="20"/>
      <w:lang w:eastAsia="en-US"/>
    </w:rPr>
  </w:style>
  <w:style w:type="paragraph" w:customStyle="1" w:styleId="129">
    <w:name w:val="xl33"/>
    <w:basedOn w:val="1"/>
    <w:qFormat/>
    <w:uiPriority w:val="0"/>
    <w:pPr>
      <w:widowControl/>
      <w:autoSpaceDE/>
      <w:autoSpaceDN/>
      <w:adjustRightInd/>
      <w:spacing w:before="100" w:beforeLines="0" w:beforeAutospacing="1" w:after="100" w:afterLines="0" w:afterAutospacing="1"/>
      <w:textAlignment w:val="center"/>
    </w:pPr>
    <w:rPr>
      <w:rFonts w:ascii="Arial Unicode MS" w:hAnsi="Arial Unicode MS" w:eastAsia="Arial Unicode MS"/>
      <w:sz w:val="20"/>
      <w:szCs w:val="20"/>
    </w:rPr>
  </w:style>
  <w:style w:type="paragraph" w:customStyle="1" w:styleId="130">
    <w:name w:val=" Char"/>
    <w:basedOn w:val="1"/>
    <w:qFormat/>
    <w:uiPriority w:val="0"/>
    <w:pPr>
      <w:widowControl/>
      <w:autoSpaceDE/>
      <w:autoSpaceDN/>
      <w:adjustRightInd/>
      <w:spacing w:after="160" w:afterLines="0" w:line="240" w:lineRule="exact"/>
      <w:jc w:val="center"/>
    </w:pPr>
    <w:rPr>
      <w:rFonts w:ascii="黑体" w:hAnsi="Verdana" w:eastAsia="黑体"/>
      <w:sz w:val="32"/>
      <w:szCs w:val="32"/>
      <w:lang w:eastAsia="en-US"/>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textAlignment w:val="center"/>
    </w:pPr>
    <w:rPr>
      <w:rFonts w:ascii="Arial Unicode MS" w:hAnsi="Arial Unicode MS" w:eastAsia="Arial Unicode MS"/>
      <w:sz w:val="20"/>
      <w:szCs w:val="20"/>
    </w:rPr>
  </w:style>
  <w:style w:type="paragraph" w:customStyle="1" w:styleId="132">
    <w:name w:val="普通(Web)"/>
    <w:basedOn w:val="1"/>
    <w:qFormat/>
    <w:uiPriority w:val="0"/>
    <w:pPr>
      <w:widowControl/>
      <w:autoSpaceDE/>
      <w:autoSpaceDN/>
      <w:adjustRightInd/>
      <w:spacing w:before="100" w:beforeLines="0" w:beforeAutospacing="1" w:after="100" w:afterLines="0" w:afterAutospacing="1" w:line="240" w:lineRule="atLeast"/>
      <w:ind w:firstLine="360"/>
    </w:pPr>
    <w:rPr>
      <w:rFonts w:hAnsi="宋体"/>
      <w:sz w:val="18"/>
      <w:szCs w:val="20"/>
    </w:rPr>
  </w:style>
  <w:style w:type="paragraph" w:customStyle="1" w:styleId="133">
    <w:name w:val="投标文件格式"/>
    <w:basedOn w:val="26"/>
    <w:qFormat/>
    <w:uiPriority w:val="0"/>
    <w:pPr>
      <w:jc w:val="center"/>
    </w:pPr>
    <w:rPr>
      <w:rFonts w:hAnsi="Times New Roman"/>
      <w:b/>
    </w:rPr>
  </w:style>
  <w:style w:type="paragraph" w:customStyle="1" w:styleId="134">
    <w:name w:val="表格栏头"/>
    <w:basedOn w:val="127"/>
    <w:next w:val="127"/>
    <w:qFormat/>
    <w:uiPriority w:val="0"/>
    <w:rPr>
      <w:b/>
    </w:rPr>
  </w:style>
  <w:style w:type="paragraph" w:customStyle="1" w:styleId="135">
    <w:name w:val=" Char Char Char Char Char Char Char Char Char Char Char Char Char"/>
    <w:basedOn w:val="1"/>
    <w:qFormat/>
    <w:uiPriority w:val="0"/>
    <w:pPr>
      <w:widowControl/>
      <w:autoSpaceDE/>
      <w:autoSpaceDN/>
      <w:adjustRightInd/>
      <w:spacing w:after="160" w:afterLines="0" w:line="240" w:lineRule="exact"/>
    </w:pPr>
    <w:rPr>
      <w:rFonts w:ascii="Times New Roman"/>
      <w:kern w:val="2"/>
      <w:sz w:val="21"/>
    </w:rPr>
  </w:style>
  <w:style w:type="paragraph" w:customStyle="1" w:styleId="13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Lines="0" w:beforeAutospacing="1" w:after="100" w:afterLines="0" w:afterAutospacing="1"/>
      <w:jc w:val="center"/>
      <w:textAlignment w:val="center"/>
    </w:pPr>
    <w:rPr>
      <w:rFonts w:ascii="Arial Unicode MS" w:hAnsi="Arial Unicode MS" w:eastAsia="Arial Unicode MS"/>
      <w:sz w:val="20"/>
      <w:szCs w:val="20"/>
    </w:rPr>
  </w:style>
  <w:style w:type="paragraph" w:customStyle="1" w:styleId="137">
    <w:name w:val="需求书2"/>
    <w:basedOn w:val="1"/>
    <w:qFormat/>
    <w:uiPriority w:val="0"/>
    <w:pPr>
      <w:autoSpaceDE/>
      <w:autoSpaceDN/>
      <w:adjustRightInd/>
      <w:jc w:val="both"/>
    </w:pPr>
    <w:rPr>
      <w:rFonts w:hAnsi="宋体"/>
      <w:spacing w:val="10"/>
      <w:kern w:val="2"/>
      <w:sz w:val="18"/>
      <w:szCs w:val="20"/>
    </w:rPr>
  </w:style>
  <w:style w:type="paragraph" w:customStyle="1" w:styleId="138">
    <w:name w:val="正文（缩进）"/>
    <w:basedOn w:val="1"/>
    <w:qFormat/>
    <w:uiPriority w:val="0"/>
    <w:pPr>
      <w:autoSpaceDE/>
      <w:autoSpaceDN/>
      <w:adjustRightInd/>
      <w:spacing w:before="156" w:beforeLines="50" w:after="156" w:afterLines="50" w:line="360" w:lineRule="auto"/>
      <w:ind w:firstLine="480" w:firstLineChars="200"/>
      <w:jc w:val="both"/>
    </w:pPr>
    <w:rPr>
      <w:rFonts w:ascii="Times New Roman"/>
      <w:kern w:val="2"/>
    </w:rPr>
  </w:style>
  <w:style w:type="paragraph" w:customStyle="1" w:styleId="139">
    <w:name w:val=" Char1"/>
    <w:basedOn w:val="16"/>
    <w:qFormat/>
    <w:uiPriority w:val="0"/>
    <w:pPr>
      <w:autoSpaceDE/>
      <w:autoSpaceDN/>
      <w:adjustRightInd/>
      <w:jc w:val="both"/>
    </w:pPr>
    <w:rPr>
      <w:rFonts w:ascii="Tahoma" w:hAnsi="Tahoma"/>
      <w:kern w:val="2"/>
    </w:rPr>
  </w:style>
  <w:style w:type="paragraph" w:customStyle="1" w:styleId="140">
    <w:name w:val=" Char Char2 Char"/>
    <w:basedOn w:val="1"/>
    <w:qFormat/>
    <w:uiPriority w:val="0"/>
    <w:pPr>
      <w:autoSpaceDE/>
      <w:autoSpaceDN/>
      <w:adjustRightInd/>
      <w:jc w:val="both"/>
    </w:pPr>
    <w:rPr>
      <w:rFonts w:hAnsi="宋体"/>
      <w:b/>
      <w:kern w:val="2"/>
      <w:sz w:val="28"/>
      <w:szCs w:val="28"/>
    </w:rPr>
  </w:style>
  <w:style w:type="paragraph" w:customStyle="1" w:styleId="141">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paragraph" w:customStyle="1" w:styleId="142">
    <w:name w:val="xl38"/>
    <w:basedOn w:val="1"/>
    <w:qFormat/>
    <w:uiPriority w:val="0"/>
    <w:pPr>
      <w:widowControl/>
      <w:pBdr>
        <w:bottom w:val="single" w:color="auto" w:sz="4" w:space="0"/>
      </w:pBdr>
      <w:autoSpaceDE/>
      <w:autoSpaceDN/>
      <w:adjustRightInd/>
      <w:spacing w:before="100" w:beforeLines="0" w:beforeAutospacing="1" w:after="100" w:afterLines="0" w:afterAutospacing="1"/>
      <w:jc w:val="center"/>
      <w:textAlignment w:val="center"/>
    </w:pPr>
    <w:rPr>
      <w:rFonts w:ascii="Arial Unicode MS" w:hAnsi="Arial Unicode MS" w:eastAsia="Arial Unicode MS"/>
      <w:b/>
      <w:sz w:val="36"/>
      <w:szCs w:val="20"/>
    </w:rPr>
  </w:style>
  <w:style w:type="paragraph" w:customStyle="1" w:styleId="143">
    <w:name w:val="Char Char Char"/>
    <w:basedOn w:val="1"/>
    <w:qFormat/>
    <w:uiPriority w:val="0"/>
    <w:pPr>
      <w:autoSpaceDE/>
      <w:autoSpaceDN/>
      <w:adjustRightInd/>
      <w:jc w:val="both"/>
    </w:pPr>
    <w:rPr>
      <w:rFonts w:ascii="Tahoma" w:hAnsi="Tahoma"/>
      <w:b/>
      <w:sz w:val="28"/>
      <w:szCs w:val="20"/>
    </w:rPr>
  </w:style>
  <w:style w:type="paragraph" w:customStyle="1" w:styleId="144">
    <w:name w:val="D标3"/>
    <w:basedOn w:val="4"/>
    <w:qFormat/>
    <w:uiPriority w:val="0"/>
    <w:pPr>
      <w:numPr>
        <w:ilvl w:val="0"/>
        <w:numId w:val="4"/>
      </w:numPr>
      <w:spacing w:before="120" w:beforeLines="0" w:line="480" w:lineRule="atLeast"/>
      <w:jc w:val="both"/>
    </w:pPr>
    <w:rPr>
      <w:rFonts w:ascii="Times New Roman" w:hAnsi="Times New Roman" w:eastAsia="宋体" w:cs="Times New Roman"/>
      <w:szCs w:val="20"/>
    </w:rPr>
  </w:style>
  <w:style w:type="paragraph" w:customStyle="1" w:styleId="145">
    <w:name w:val="表格文字"/>
    <w:basedOn w:val="1"/>
    <w:qFormat/>
    <w:uiPriority w:val="0"/>
    <w:pPr>
      <w:autoSpaceDE/>
      <w:autoSpaceDN/>
      <w:adjustRightInd/>
      <w:spacing w:before="25" w:beforeLines="0" w:after="25" w:afterLines="0"/>
    </w:pPr>
    <w:rPr>
      <w:rFonts w:ascii="Times New Roman"/>
      <w:bCs/>
      <w:spacing w:val="10"/>
      <w:szCs w:val="20"/>
    </w:rPr>
  </w:style>
  <w:style w:type="paragraph" w:customStyle="1" w:styleId="146">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47">
    <w:name w:val="信息标题2"/>
    <w:basedOn w:val="13"/>
    <w:next w:val="13"/>
    <w:qFormat/>
    <w:uiPriority w:val="0"/>
    <w:pPr>
      <w:autoSpaceDE/>
      <w:autoSpaceDN/>
      <w:adjustRightInd/>
      <w:spacing w:before="156" w:beforeLines="50" w:after="156" w:afterLines="50"/>
      <w:ind w:left="422" w:hanging="422" w:hangingChars="200"/>
    </w:pPr>
    <w:rPr>
      <w:rFonts w:ascii="Arial Black" w:hAnsi="Arial Black" w:eastAsia="宋体" w:cs="Times New Roman"/>
      <w:b/>
      <w:kern w:val="2"/>
      <w:sz w:val="30"/>
    </w:rPr>
  </w:style>
  <w:style w:type="paragraph" w:customStyle="1" w:styleId="148">
    <w:name w:val=" 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49">
    <w:name w:val=" Char Char1"/>
    <w:basedOn w:val="1"/>
    <w:qFormat/>
    <w:uiPriority w:val="0"/>
    <w:pPr>
      <w:widowControl/>
      <w:autoSpaceDE/>
      <w:autoSpaceDN/>
      <w:adjustRightInd/>
      <w:spacing w:after="160" w:afterLines="0" w:line="240" w:lineRule="exact"/>
    </w:pPr>
    <w:rPr>
      <w:rFonts w:ascii="Verdana" w:hAnsi="Verdana" w:eastAsia="楷体_GB2312"/>
      <w:b/>
      <w:i/>
      <w:iCs/>
      <w:color w:val="000000"/>
      <w:sz w:val="20"/>
      <w:szCs w:val="20"/>
      <w:lang w:eastAsia="en-US"/>
    </w:rPr>
  </w:style>
  <w:style w:type="paragraph" w:customStyle="1" w:styleId="150">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jc w:val="center"/>
    </w:pPr>
    <w:rPr>
      <w:rFonts w:hAnsi="宋体"/>
    </w:rPr>
  </w:style>
  <w:style w:type="paragraph" w:customStyle="1" w:styleId="151">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152">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53">
    <w:name w:val="正文无缩进"/>
    <w:basedOn w:val="82"/>
    <w:qFormat/>
    <w:uiPriority w:val="0"/>
    <w:pPr>
      <w:ind w:firstLine="0" w:firstLineChars="0"/>
    </w:pPr>
  </w:style>
  <w:style w:type="paragraph" w:customStyle="1" w:styleId="15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155">
    <w:name w:val="Char1"/>
    <w:basedOn w:val="16"/>
    <w:qFormat/>
    <w:uiPriority w:val="0"/>
    <w:pPr>
      <w:shd w:val="clear" w:color="auto" w:fill="000080"/>
      <w:autoSpaceDE/>
      <w:autoSpaceDN/>
      <w:adjustRightInd/>
      <w:jc w:val="both"/>
    </w:pPr>
    <w:rPr>
      <w:rFonts w:ascii="Tahoma" w:hAnsi="Tahoma" w:eastAsia="宋体" w:cs="Times New Roman"/>
      <w:kern w:val="2"/>
    </w:rPr>
  </w:style>
  <w:style w:type="paragraph" w:customStyle="1" w:styleId="156">
    <w:name w:val="1"/>
    <w:basedOn w:val="1"/>
    <w:qFormat/>
    <w:uiPriority w:val="0"/>
    <w:pPr>
      <w:widowControl/>
      <w:autoSpaceDE/>
      <w:autoSpaceDN/>
      <w:adjustRightInd/>
      <w:spacing w:after="160" w:afterLines="0" w:line="240" w:lineRule="exact"/>
    </w:pPr>
    <w:rPr>
      <w:rFonts w:ascii="Verdana" w:hAnsi="Verdana" w:eastAsia="楷体_GB2312"/>
      <w:b/>
      <w:i/>
      <w:iCs/>
      <w:color w:val="000000"/>
      <w:sz w:val="20"/>
      <w:szCs w:val="20"/>
      <w:lang w:eastAsia="en-US"/>
    </w:rPr>
  </w:style>
  <w:style w:type="paragraph" w:customStyle="1" w:styleId="157">
    <w:name w:val="Bullet"/>
    <w:basedOn w:val="1"/>
    <w:qFormat/>
    <w:uiPriority w:val="0"/>
    <w:pPr>
      <w:numPr>
        <w:ilvl w:val="0"/>
        <w:numId w:val="5"/>
      </w:numPr>
      <w:autoSpaceDE/>
      <w:autoSpaceDN/>
      <w:adjustRightInd/>
      <w:spacing w:line="360" w:lineRule="exact"/>
      <w:jc w:val="both"/>
    </w:pPr>
    <w:rPr>
      <w:rFonts w:ascii="Times New Roman"/>
      <w:kern w:val="2"/>
      <w:szCs w:val="20"/>
    </w:rPr>
  </w:style>
  <w:style w:type="paragraph" w:customStyle="1" w:styleId="158">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Lines="0" w:beforeAutospacing="1" w:after="100" w:afterLines="0" w:afterAutospacing="1"/>
      <w:textAlignment w:val="center"/>
    </w:pPr>
    <w:rPr>
      <w:rFonts w:ascii="Arial Unicode MS" w:hAnsi="Arial Unicode MS" w:eastAsia="Arial Unicode MS"/>
      <w:sz w:val="20"/>
      <w:szCs w:val="20"/>
    </w:rPr>
  </w:style>
  <w:style w:type="paragraph" w:customStyle="1" w:styleId="159">
    <w:name w:val="标题4"/>
    <w:basedOn w:val="82"/>
    <w:qFormat/>
    <w:uiPriority w:val="0"/>
    <w:pPr>
      <w:spacing w:line="540" w:lineRule="exact"/>
      <w:ind w:firstLine="0" w:firstLineChars="0"/>
    </w:pPr>
    <w:rPr>
      <w:rFonts w:hAnsi="Times New Roman"/>
      <w:szCs w:val="24"/>
    </w:rPr>
  </w:style>
  <w:style w:type="paragraph" w:customStyle="1" w:styleId="160">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61">
    <w:name w:val="Blockquote"/>
    <w:basedOn w:val="1"/>
    <w:qFormat/>
    <w:uiPriority w:val="0"/>
    <w:pPr>
      <w:spacing w:before="100" w:beforeLines="0" w:after="100" w:afterLines="0"/>
      <w:ind w:left="360" w:right="360"/>
    </w:pPr>
    <w:rPr>
      <w:rFonts w:ascii="Times New Roman" w:hAnsi="Times New Roman" w:eastAsia="宋体" w:cs="Times New Roman"/>
      <w:szCs w:val="20"/>
    </w:rPr>
  </w:style>
  <w:style w:type="paragraph" w:customStyle="1" w:styleId="162">
    <w:name w:val=" Char1 Char Char Char"/>
    <w:basedOn w:val="1"/>
    <w:qFormat/>
    <w:uiPriority w:val="0"/>
    <w:pPr>
      <w:autoSpaceDE/>
      <w:autoSpaceDN/>
      <w:adjustRightInd/>
      <w:jc w:val="both"/>
    </w:pPr>
    <w:rPr>
      <w:rFonts w:ascii="Tahoma" w:hAnsi="Tahoma"/>
      <w:kern w:val="2"/>
      <w:szCs w:val="20"/>
    </w:rPr>
  </w:style>
  <w:style w:type="paragraph" w:customStyle="1" w:styleId="163">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64">
    <w:name w:val="版权"/>
    <w:basedOn w:val="1"/>
    <w:qFormat/>
    <w:uiPriority w:val="0"/>
    <w:pPr>
      <w:autoSpaceDE/>
      <w:autoSpaceDN/>
      <w:adjustRightInd/>
      <w:spacing w:before="312" w:beforeLines="0" w:after="312" w:afterLines="0"/>
      <w:ind w:firstLine="480"/>
      <w:jc w:val="center"/>
      <w:outlineLvl w:val="0"/>
    </w:pPr>
    <w:rPr>
      <w:rFonts w:ascii="华文中宋" w:hAnsi="华文中宋"/>
      <w:b/>
      <w:kern w:val="2"/>
      <w:szCs w:val="20"/>
    </w:rPr>
  </w:style>
  <w:style w:type="paragraph" w:customStyle="1" w:styleId="165">
    <w:name w:val="Char Char1 Char Char Char Char Char Char Char Char Char Char Char Char Char"/>
    <w:basedOn w:val="1"/>
    <w:qFormat/>
    <w:uiPriority w:val="0"/>
    <w:pPr>
      <w:widowControl/>
      <w:autoSpaceDE/>
      <w:autoSpaceDN/>
      <w:adjustRightInd/>
      <w:spacing w:after="160" w:afterLines="0" w:line="360" w:lineRule="auto"/>
    </w:pPr>
    <w:rPr>
      <w:rFonts w:ascii="Verdana" w:hAnsi="Verdana" w:eastAsia="宋体" w:cs="Times New Roman"/>
      <w:sz w:val="21"/>
      <w:szCs w:val="20"/>
      <w:lang w:eastAsia="en-US"/>
    </w:rPr>
  </w:style>
  <w:style w:type="paragraph" w:customStyle="1" w:styleId="166">
    <w:name w:val="xl4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宋体" w:hAnsi="宋体"/>
      <w:kern w:val="0"/>
      <w:sz w:val="24"/>
    </w:rPr>
  </w:style>
  <w:style w:type="paragraph" w:customStyle="1" w:styleId="167">
    <w:name w:val="Char Char Char Char"/>
    <w:basedOn w:val="2"/>
    <w:qFormat/>
    <w:uiPriority w:val="0"/>
    <w:pPr>
      <w:keepNext/>
      <w:keepLines/>
      <w:pageBreakBefore/>
      <w:widowControl/>
      <w:numPr>
        <w:ilvl w:val="1"/>
        <w:numId w:val="6"/>
      </w:numPr>
      <w:autoSpaceDE/>
      <w:autoSpaceDN/>
      <w:adjustRightInd/>
      <w:spacing w:before="180" w:beforeLines="0" w:after="160" w:afterLines="0" w:line="240" w:lineRule="exact"/>
    </w:pPr>
    <w:rPr>
      <w:rFonts w:ascii="Verdana" w:hAnsi="Verdana" w:eastAsia="黑体"/>
      <w:bCs/>
      <w:sz w:val="32"/>
      <w:szCs w:val="32"/>
      <w:lang w:eastAsia="en-US"/>
    </w:rPr>
  </w:style>
  <w:style w:type="paragraph" w:customStyle="1" w:styleId="168">
    <w:name w:val="xl28"/>
    <w:basedOn w:val="1"/>
    <w:qFormat/>
    <w:uiPriority w:val="0"/>
    <w:pPr>
      <w:widowControl/>
      <w:autoSpaceDE/>
      <w:autoSpaceDN/>
      <w:adjustRightInd/>
      <w:spacing w:before="100" w:beforeLines="0" w:beforeAutospacing="1" w:after="100" w:afterLines="0" w:afterAutospacing="1"/>
      <w:jc w:val="center"/>
      <w:textAlignment w:val="center"/>
    </w:pPr>
    <w:rPr>
      <w:rFonts w:ascii="Arial Unicode MS" w:hAnsi="Arial Unicode MS" w:eastAsia="Arial Unicode MS"/>
      <w:sz w:val="20"/>
      <w:szCs w:val="20"/>
    </w:rPr>
  </w:style>
  <w:style w:type="paragraph" w:customStyle="1" w:styleId="16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Lines="0" w:beforeAutospacing="1" w:after="100" w:afterLines="0" w:afterAutospacing="1"/>
      <w:jc w:val="center"/>
      <w:textAlignment w:val="center"/>
    </w:pPr>
    <w:rPr>
      <w:rFonts w:ascii="Arial Unicode MS" w:hAnsi="Arial Unicode MS" w:eastAsia="Arial Unicode MS"/>
      <w:sz w:val="20"/>
      <w:szCs w:val="20"/>
    </w:rPr>
  </w:style>
  <w:style w:type="paragraph" w:customStyle="1" w:styleId="170">
    <w:name w:val="保留正文"/>
    <w:basedOn w:val="20"/>
    <w:qFormat/>
    <w:uiPriority w:val="0"/>
    <w:pPr>
      <w:keepNext/>
      <w:autoSpaceDE/>
      <w:autoSpaceDN/>
      <w:adjustRightInd/>
      <w:spacing w:after="160" w:afterLines="0"/>
      <w:ind w:right="0"/>
      <w:jc w:val="both"/>
    </w:pPr>
    <w:rPr>
      <w:rFonts w:ascii="Times New Roman"/>
      <w:b w:val="0"/>
      <w:bCs w:val="0"/>
      <w:sz w:val="21"/>
      <w:szCs w:val="24"/>
      <w:lang w:val="en-US"/>
    </w:rPr>
  </w:style>
  <w:style w:type="paragraph" w:customStyle="1" w:styleId="171">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72">
    <w:name w:val="xl39"/>
    <w:basedOn w:val="1"/>
    <w:qFormat/>
    <w:uiPriority w:val="0"/>
    <w:pPr>
      <w:widowControl/>
      <w:autoSpaceDE/>
      <w:autoSpaceDN/>
      <w:adjustRightInd/>
      <w:spacing w:before="100" w:beforeLines="0" w:beforeAutospacing="1" w:after="100" w:afterLines="0" w:afterAutospacing="1"/>
    </w:pPr>
    <w:rPr>
      <w:rFonts w:ascii="Arial Unicode MS" w:hAnsi="Arial Unicode MS" w:eastAsia="Arial Unicode MS"/>
      <w:sz w:val="20"/>
      <w:szCs w:val="20"/>
    </w:rPr>
  </w:style>
  <w:style w:type="paragraph" w:customStyle="1" w:styleId="173">
    <w:name w:val=" Char Char Char Char"/>
    <w:basedOn w:val="1"/>
    <w:qFormat/>
    <w:uiPriority w:val="0"/>
    <w:pPr>
      <w:widowControl/>
      <w:autoSpaceDE/>
      <w:autoSpaceDN/>
      <w:adjustRightInd/>
      <w:spacing w:after="160" w:afterLines="0" w:line="240" w:lineRule="exact"/>
    </w:pPr>
    <w:rPr>
      <w:rFonts w:ascii="Verdana" w:hAnsi="Verdana" w:eastAsia="仿宋_GB2312"/>
      <w:szCs w:val="20"/>
      <w:lang w:eastAsia="en-US"/>
    </w:rPr>
  </w:style>
  <w:style w:type="paragraph" w:customStyle="1" w:styleId="174">
    <w:name w:val="List Paragraph1"/>
    <w:basedOn w:val="1"/>
    <w:qFormat/>
    <w:uiPriority w:val="0"/>
    <w:pPr>
      <w:autoSpaceDE/>
      <w:autoSpaceDN/>
      <w:adjustRightInd/>
      <w:ind w:firstLine="420" w:firstLineChars="200"/>
      <w:jc w:val="both"/>
    </w:pPr>
    <w:rPr>
      <w:rFonts w:ascii="Calibri" w:hAnsi="Calibri" w:eastAsia="宋体" w:cs="Times New Roman"/>
      <w:kern w:val="2"/>
      <w:sz w:val="21"/>
      <w:szCs w:val="22"/>
    </w:rPr>
  </w:style>
  <w:style w:type="paragraph" w:customStyle="1" w:styleId="175">
    <w:name w:val="xl25"/>
    <w:basedOn w:val="1"/>
    <w:qFormat/>
    <w:uiPriority w:val="0"/>
    <w:pPr>
      <w:widowControl/>
      <w:pBdr>
        <w:bottom w:val="single" w:color="auto" w:sz="4" w:space="0"/>
        <w:right w:val="single" w:color="auto" w:sz="4" w:space="0"/>
      </w:pBdr>
      <w:autoSpaceDE/>
      <w:autoSpaceDN/>
      <w:adjustRightInd/>
      <w:spacing w:before="100" w:beforeLines="0" w:beforeAutospacing="1" w:after="100" w:afterLines="0" w:afterAutospacing="1"/>
      <w:jc w:val="center"/>
    </w:pPr>
    <w:rPr>
      <w:rFonts w:hAnsi="宋体"/>
      <w:sz w:val="21"/>
      <w:szCs w:val="21"/>
    </w:rPr>
  </w:style>
  <w:style w:type="paragraph" w:customStyle="1" w:styleId="176">
    <w:name w:val="Char1 Char Char Char Char Char Char"/>
    <w:basedOn w:val="1"/>
    <w:qFormat/>
    <w:uiPriority w:val="0"/>
    <w:pPr>
      <w:widowControl/>
      <w:autoSpaceDE/>
      <w:autoSpaceDN/>
      <w:adjustRightInd/>
      <w:spacing w:line="400" w:lineRule="exact"/>
      <w:jc w:val="center"/>
    </w:pPr>
    <w:rPr>
      <w:rFonts w:ascii="Verdana" w:hAnsi="Verdana" w:eastAsia="宋体" w:cs="Times New Roman"/>
      <w:sz w:val="21"/>
      <w:szCs w:val="20"/>
      <w:lang w:eastAsia="en-US"/>
    </w:rPr>
  </w:style>
  <w:style w:type="paragraph" w:customStyle="1" w:styleId="177">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7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Lines="0" w:beforeAutospacing="1" w:after="100" w:afterLines="0" w:afterAutospacing="1"/>
      <w:jc w:val="center"/>
      <w:textAlignment w:val="center"/>
    </w:pPr>
    <w:rPr>
      <w:rFonts w:ascii="Arial Unicode MS" w:hAnsi="Arial Unicode MS" w:eastAsia="Arial Unicode MS"/>
      <w:b/>
      <w:sz w:val="20"/>
      <w:szCs w:val="20"/>
    </w:rPr>
  </w:style>
  <w:style w:type="paragraph" w:customStyle="1" w:styleId="179">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技术响应2"/>
    <w:basedOn w:val="1"/>
    <w:qFormat/>
    <w:uiPriority w:val="0"/>
    <w:pPr>
      <w:numPr>
        <w:ilvl w:val="0"/>
        <w:numId w:val="7"/>
      </w:numPr>
      <w:autoSpaceDE/>
      <w:autoSpaceDN/>
      <w:adjustRightInd/>
      <w:jc w:val="both"/>
    </w:pPr>
    <w:rPr>
      <w:rFonts w:hAnsi="宋体"/>
      <w:b/>
      <w:bCs/>
      <w:kern w:val="2"/>
      <w:sz w:val="21"/>
      <w:szCs w:val="20"/>
    </w:rPr>
  </w:style>
  <w:style w:type="paragraph" w:customStyle="1" w:styleId="182">
    <w:name w:val=" Char Char Char Char Char Char"/>
    <w:basedOn w:val="1"/>
    <w:qFormat/>
    <w:uiPriority w:val="0"/>
    <w:pPr>
      <w:widowControl/>
      <w:autoSpaceDE/>
      <w:autoSpaceDN/>
      <w:adjustRightInd/>
      <w:spacing w:after="160" w:afterLines="0" w:line="240" w:lineRule="exact"/>
    </w:pPr>
    <w:rPr>
      <w:rFonts w:ascii="Times New Roman"/>
      <w:kern w:val="2"/>
      <w:lang w:eastAsia="en-US"/>
    </w:rPr>
  </w:style>
  <w:style w:type="paragraph" w:customStyle="1" w:styleId="183">
    <w:name w:val="题目副题"/>
    <w:basedOn w:val="37"/>
    <w:qFormat/>
    <w:uiPriority w:val="0"/>
    <w:pPr>
      <w:spacing w:before="0" w:beforeLines="0" w:after="312" w:afterLines="0"/>
      <w:ind w:left="240" w:firstLine="600"/>
      <w:jc w:val="left"/>
      <w:outlineLvl w:val="9"/>
    </w:pPr>
    <w:rPr>
      <w:rFonts w:ascii="宋体" w:hAnsi="宋体"/>
      <w:sz w:val="30"/>
    </w:rPr>
  </w:style>
  <w:style w:type="paragraph" w:customStyle="1" w:styleId="184">
    <w:name w:val="日期右"/>
    <w:basedOn w:val="28"/>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85">
    <w:name w:val="表头"/>
    <w:basedOn w:val="13"/>
    <w:qFormat/>
    <w:uiPriority w:val="0"/>
    <w:pPr>
      <w:keepNext/>
      <w:keepLines/>
      <w:widowControl/>
      <w:autoSpaceDE/>
      <w:autoSpaceDN/>
      <w:adjustRightInd/>
      <w:spacing w:before="120" w:beforeLines="0" w:after="120" w:afterLines="0" w:line="300" w:lineRule="auto"/>
      <w:jc w:val="center"/>
      <w:textAlignment w:val="baseline"/>
    </w:pPr>
    <w:rPr>
      <w:rFonts w:cs="Times New Roman"/>
      <w:sz w:val="21"/>
    </w:rPr>
  </w:style>
  <w:style w:type="paragraph" w:customStyle="1" w:styleId="186">
    <w:name w:val="正文列表"/>
    <w:basedOn w:val="1"/>
    <w:qFormat/>
    <w:uiPriority w:val="0"/>
    <w:pPr>
      <w:jc w:val="center"/>
      <w:textAlignment w:val="baseline"/>
    </w:pPr>
    <w:rPr>
      <w:rFonts w:hAnsi="宋体"/>
      <w:szCs w:val="20"/>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Lines="0" w:beforeAutospacing="1" w:after="100" w:afterLines="0" w:afterAutospacing="1"/>
      <w:jc w:val="center"/>
      <w:textAlignment w:val="center"/>
    </w:pPr>
    <w:rPr>
      <w:rFonts w:ascii="Arial Unicode MS" w:hAnsi="Arial Unicode MS" w:eastAsia="Arial Unicode MS"/>
      <w:b/>
      <w:sz w:val="20"/>
      <w:szCs w:val="20"/>
    </w:rPr>
  </w:style>
  <w:style w:type="paragraph" w:customStyle="1" w:styleId="188">
    <w:name w:val="列出段落1"/>
    <w:basedOn w:val="1"/>
    <w:qFormat/>
    <w:uiPriority w:val="34"/>
    <w:pPr>
      <w:ind w:firstLine="420" w:firstLineChars="200"/>
    </w:pPr>
    <w:rPr>
      <w:rFonts w:ascii="Calibri" w:hAnsi="Calibri" w:eastAsia="宋体" w:cs="黑体"/>
    </w:rPr>
  </w:style>
  <w:style w:type="paragraph" w:customStyle="1" w:styleId="189">
    <w:name w:val="p2"/>
    <w:basedOn w:val="1"/>
    <w:qFormat/>
    <w:uiPriority w:val="0"/>
    <w:pPr>
      <w:spacing w:beforeAutospacing="0" w:after="0" w:afterAutospacing="0"/>
      <w:ind w:left="0" w:right="0"/>
      <w:jc w:val="left"/>
    </w:pPr>
    <w:rPr>
      <w:kern w:val="0"/>
      <w:lang w:val="en-US" w:eastAsia="zh-CN" w:bidi="ar"/>
    </w:rPr>
  </w:style>
  <w:style w:type="paragraph" w:customStyle="1" w:styleId="190">
    <w:name w:val="_Style 202"/>
    <w:basedOn w:val="1"/>
    <w:qFormat/>
    <w:uiPriority w:val="0"/>
    <w:pPr>
      <w:tabs>
        <w:tab w:val="left" w:pos="360"/>
      </w:tabs>
      <w:autoSpaceDE/>
      <w:autoSpaceDN/>
      <w:adjustRightInd/>
      <w:jc w:val="both"/>
    </w:pPr>
    <w:rPr>
      <w:rFonts w:ascii="Times New Roman"/>
      <w:kern w:val="2"/>
      <w:sz w:val="21"/>
    </w:rPr>
  </w:style>
  <w:style w:type="paragraph" w:customStyle="1" w:styleId="191">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92">
    <w:name w:val="默认段落字体 Para Char"/>
    <w:basedOn w:val="1"/>
    <w:qFormat/>
    <w:uiPriority w:val="0"/>
    <w:pPr>
      <w:autoSpaceDE/>
      <w:autoSpaceDN/>
      <w:spacing w:line="360" w:lineRule="auto"/>
      <w:jc w:val="both"/>
    </w:pPr>
    <w:rPr>
      <w:rFonts w:ascii="Times New Roman"/>
      <w:szCs w:val="20"/>
    </w:rPr>
  </w:style>
  <w:style w:type="paragraph" w:customStyle="1" w:styleId="19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94">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textAlignment w:val="center"/>
    </w:pPr>
    <w:rPr>
      <w:rFonts w:ascii="Times New Roman" w:eastAsia="Arial Unicode MS"/>
      <w:sz w:val="20"/>
      <w:szCs w:val="20"/>
    </w:rPr>
  </w:style>
  <w:style w:type="paragraph" w:customStyle="1" w:styleId="195">
    <w:name w:val="Char Char Char Char Char Char1 Char"/>
    <w:basedOn w:val="1"/>
    <w:qFormat/>
    <w:uiPriority w:val="0"/>
    <w:pPr>
      <w:widowControl/>
      <w:autoSpaceDE/>
      <w:autoSpaceDN/>
      <w:adjustRightInd/>
      <w:spacing w:after="160" w:afterLines="0" w:line="240" w:lineRule="exact"/>
    </w:pPr>
    <w:rPr>
      <w:rFonts w:ascii="Arial" w:hAnsi="Arial" w:eastAsia="楷体_GB2312" w:cs="Verdana"/>
      <w:b/>
      <w:lang w:eastAsia="en-US"/>
    </w:rPr>
  </w:style>
  <w:style w:type="paragraph" w:customStyle="1" w:styleId="196">
    <w:name w:val="样式 样式 样式 首行缩进:  2 字符1 + 首行缩进:  2 字符 + 首行缩进:  2 字符"/>
    <w:basedOn w:val="1"/>
    <w:semiHidden/>
    <w:qFormat/>
    <w:uiPriority w:val="0"/>
    <w:pPr>
      <w:kinsoku w:val="0"/>
      <w:overflowPunct w:val="0"/>
      <w:autoSpaceDE w:val="0"/>
      <w:autoSpaceDN w:val="0"/>
      <w:ind w:firstLine="200" w:firstLineChars="200"/>
    </w:pPr>
    <w:rPr>
      <w:rFonts w:ascii="仿宋_GB2312" w:hAnsi="宋体" w:eastAsia="仿宋_GB2312" w:cs="宋体"/>
      <w:sz w:val="32"/>
      <w:szCs w:val="20"/>
    </w:rPr>
  </w:style>
  <w:style w:type="paragraph" w:customStyle="1" w:styleId="197">
    <w:name w:val="p0"/>
    <w:basedOn w:val="1"/>
    <w:qFormat/>
    <w:uiPriority w:val="99"/>
    <w:pPr>
      <w:widowControl/>
    </w:pPr>
    <w:rPr>
      <w:szCs w:val="21"/>
    </w:rPr>
  </w:style>
  <w:style w:type="paragraph" w:customStyle="1" w:styleId="198">
    <w:name w:val="正文文本缩进 21"/>
    <w:basedOn w:val="1"/>
    <w:qFormat/>
    <w:uiPriority w:val="0"/>
    <w:pPr>
      <w:adjustRightInd w:val="0"/>
      <w:spacing w:line="480" w:lineRule="auto"/>
      <w:ind w:firstLine="540"/>
    </w:pPr>
    <w:rPr>
      <w:rFonts w:ascii="Calibri" w:hAnsi="Calibri" w:eastAsia="宋体" w:cs="Calibri"/>
      <w:szCs w:val="22"/>
    </w:rPr>
  </w:style>
  <w:style w:type="paragraph" w:customStyle="1" w:styleId="199">
    <w:name w:val="普通 (Web)"/>
    <w:basedOn w:val="1"/>
    <w:qFormat/>
    <w:uiPriority w:val="0"/>
    <w:pPr>
      <w:widowControl/>
      <w:autoSpaceDE/>
      <w:autoSpaceDN/>
      <w:adjustRightInd/>
      <w:spacing w:before="100" w:beforeLines="0" w:beforeAutospacing="1" w:after="100" w:afterLines="0" w:afterAutospacing="1"/>
    </w:pPr>
    <w:rPr>
      <w:rFonts w:hAnsi="宋体"/>
    </w:rPr>
  </w:style>
  <w:style w:type="paragraph" w:customStyle="1" w:styleId="200">
    <w:name w:val="目录"/>
    <w:basedOn w:val="1"/>
    <w:qFormat/>
    <w:uiPriority w:val="0"/>
    <w:pPr>
      <w:widowControl/>
      <w:autoSpaceDE/>
      <w:autoSpaceDN/>
      <w:adjustRightInd/>
      <w:spacing w:line="480" w:lineRule="auto"/>
      <w:jc w:val="center"/>
    </w:pPr>
    <w:rPr>
      <w:b/>
      <w:szCs w:val="20"/>
    </w:rPr>
  </w:style>
  <w:style w:type="paragraph" w:customStyle="1" w:styleId="201">
    <w:name w:val="样式 标题 3Level 3 HeadH3Heading 3 - oldh3sect1.2.3Head33l3..."/>
    <w:basedOn w:val="4"/>
    <w:qFormat/>
    <w:uiPriority w:val="0"/>
    <w:pPr>
      <w:numPr>
        <w:ilvl w:val="0"/>
        <w:numId w:val="0"/>
      </w:numPr>
      <w:tabs>
        <w:tab w:val="left" w:pos="720"/>
      </w:tabs>
      <w:autoSpaceDE/>
      <w:autoSpaceDN/>
      <w:adjustRightInd/>
      <w:spacing w:line="360" w:lineRule="auto"/>
      <w:ind w:left="720" w:hanging="720"/>
      <w:jc w:val="both"/>
    </w:pPr>
    <w:rPr>
      <w:rFonts w:ascii="Times New Roman" w:cs="宋体"/>
      <w:kern w:val="2"/>
      <w:sz w:val="21"/>
      <w:szCs w:val="20"/>
    </w:rPr>
  </w:style>
  <w:style w:type="paragraph" w:customStyle="1" w:styleId="202">
    <w:name w:val="_Style 2"/>
    <w:basedOn w:val="1"/>
    <w:qFormat/>
    <w:uiPriority w:val="34"/>
    <w:pPr>
      <w:spacing w:line="360" w:lineRule="auto"/>
      <w:ind w:firstLine="420" w:firstLineChars="200"/>
    </w:pPr>
    <w:rPr>
      <w:rFonts w:ascii="Calibri" w:hAnsi="Calibri"/>
      <w:kern w:val="2"/>
      <w:sz w:val="21"/>
      <w:szCs w:val="22"/>
    </w:rPr>
  </w:style>
  <w:style w:type="paragraph" w:customStyle="1" w:styleId="203">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204">
    <w:name w:val="_Style 203"/>
    <w:basedOn w:val="3"/>
    <w:next w:val="1"/>
    <w:qFormat/>
    <w:uiPriority w:val="0"/>
    <w:pPr>
      <w:keepNext/>
      <w:keepLines/>
      <w:widowControl/>
      <w:autoSpaceDE/>
      <w:autoSpaceDN/>
      <w:adjustRightInd/>
      <w:spacing w:before="480" w:beforeLines="0" w:line="276" w:lineRule="auto"/>
      <w:outlineLvl w:val="9"/>
    </w:pPr>
    <w:rPr>
      <w:rFonts w:ascii="Cambria" w:hAnsi="Cambria" w:eastAsia="宋体" w:cs="Times New Roman"/>
      <w:b/>
      <w:bCs/>
      <w:color w:val="365F91"/>
      <w:sz w:val="28"/>
      <w:szCs w:val="28"/>
    </w:rPr>
  </w:style>
  <w:style w:type="paragraph" w:customStyle="1" w:styleId="205">
    <w:name w:val="shall-正文"/>
    <w:basedOn w:val="1"/>
    <w:qFormat/>
    <w:uiPriority w:val="0"/>
    <w:pPr>
      <w:adjustRightInd w:val="0"/>
      <w:snapToGrid w:val="0"/>
      <w:spacing w:beforeLines="30" w:line="288" w:lineRule="auto"/>
      <w:ind w:firstLine="200" w:firstLineChars="200"/>
      <w:jc w:val="left"/>
    </w:pPr>
    <w:rPr>
      <w:rFonts w:eastAsia="华文细黑"/>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69</Pages>
  <Words>6955</Words>
  <Characters>39645</Characters>
  <Lines>330</Lines>
  <Paragraphs>93</Paragraphs>
  <TotalTime>72</TotalTime>
  <ScaleCrop>false</ScaleCrop>
  <LinksUpToDate>false</LinksUpToDate>
  <CharactersWithSpaces>46507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2021-03-18T03:03:00Z</dcterms:created>
  <dc:creator>lyy</dc:creator>
  <cp:lastModifiedBy>Xxy</cp:lastModifiedBy>
  <cp:lastPrinted>2021-07-20T08:19:00Z</cp:lastPrinted>
  <dcterms:modified xsi:type="dcterms:W3CDTF">2021-07-21T09:17:46Z</dcterms:modified>
  <dc:title>货物公开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DB0DE6A1C7B34CC9B4A770EEF8DD858A</vt:lpwstr>
  </property>
</Properties>
</file>